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A517D" w14:textId="7BAE99C7" w:rsidR="00962A4D" w:rsidRPr="00A11DBA" w:rsidRDefault="00962A4D" w:rsidP="00962A4D">
      <w:pPr>
        <w:pStyle w:val="Tekstpodstawowy"/>
        <w:spacing w:line="276" w:lineRule="auto"/>
        <w:jc w:val="right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 xml:space="preserve">Warszawa, </w:t>
      </w:r>
      <w:r>
        <w:rPr>
          <w:rFonts w:cstheme="minorHAnsi"/>
          <w:sz w:val="24"/>
          <w:szCs w:val="24"/>
        </w:rPr>
        <w:t xml:space="preserve">30 stycznia </w:t>
      </w:r>
      <w:r w:rsidRPr="00A11DBA">
        <w:rPr>
          <w:rFonts w:cstheme="minorHAnsi"/>
          <w:sz w:val="24"/>
          <w:szCs w:val="24"/>
        </w:rPr>
        <w:t>202</w:t>
      </w:r>
      <w:r>
        <w:rPr>
          <w:rFonts w:cstheme="minorHAnsi"/>
          <w:sz w:val="24"/>
          <w:szCs w:val="24"/>
        </w:rPr>
        <w:t>5</w:t>
      </w:r>
      <w:r w:rsidRPr="00A11DBA">
        <w:rPr>
          <w:rFonts w:cstheme="minorHAnsi"/>
          <w:sz w:val="24"/>
          <w:szCs w:val="24"/>
        </w:rPr>
        <w:t xml:space="preserve"> r.</w:t>
      </w:r>
    </w:p>
    <w:p w14:paraId="4E84CFBF" w14:textId="77777777" w:rsidR="00962A4D" w:rsidRPr="00B10084" w:rsidRDefault="00962A4D" w:rsidP="00962A4D">
      <w:pPr>
        <w:pStyle w:val="Tekstpodstawowy"/>
        <w:spacing w:line="276" w:lineRule="auto"/>
        <w:jc w:val="both"/>
        <w:rPr>
          <w:rFonts w:cstheme="minorHAnsi"/>
        </w:rPr>
      </w:pPr>
    </w:p>
    <w:p w14:paraId="5822BA16" w14:textId="77777777" w:rsidR="00962A4D" w:rsidRPr="00A11DBA" w:rsidRDefault="00962A4D" w:rsidP="00962A4D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4749C6D1" w14:textId="3D0DE2DC" w:rsidR="00962A4D" w:rsidRPr="00647128" w:rsidRDefault="00BB1196" w:rsidP="00962A4D">
      <w:pPr>
        <w:pStyle w:val="Tekstpodstawowy"/>
        <w:spacing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 w:rsidRPr="00647128">
        <w:rPr>
          <w:rFonts w:cstheme="minorHAnsi"/>
          <w:b/>
          <w:bCs/>
          <w:color w:val="0070C0"/>
          <w:sz w:val="32"/>
          <w:szCs w:val="32"/>
        </w:rPr>
        <w:t>Branża leasingowa zakończyła 2024 rok dwucyfrowym wzrostem</w:t>
      </w:r>
    </w:p>
    <w:p w14:paraId="745D1E2F" w14:textId="593012CE" w:rsidR="00962A4D" w:rsidRPr="00F33ECB" w:rsidRDefault="00962A4D" w:rsidP="00962A4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F33ECB">
        <w:rPr>
          <w:rFonts w:ascii="Calibri" w:hAnsi="Calibri" w:cs="Calibri"/>
          <w:b/>
          <w:bCs/>
          <w:sz w:val="28"/>
          <w:szCs w:val="28"/>
        </w:rPr>
        <w:t xml:space="preserve">Firmy leasingowe udzieliły finansowania na kwotę </w:t>
      </w:r>
      <w:r w:rsidR="00BB1196">
        <w:rPr>
          <w:rFonts w:ascii="Calibri" w:hAnsi="Calibri" w:cs="Calibri"/>
          <w:b/>
          <w:bCs/>
          <w:sz w:val="28"/>
          <w:szCs w:val="28"/>
        </w:rPr>
        <w:t>110,5</w:t>
      </w:r>
      <w:r w:rsidRPr="00F33ECB">
        <w:rPr>
          <w:rFonts w:ascii="Calibri" w:hAnsi="Calibri" w:cs="Calibri"/>
          <w:b/>
          <w:bCs/>
          <w:sz w:val="28"/>
          <w:szCs w:val="28"/>
        </w:rPr>
        <w:t xml:space="preserve"> mld zł w </w:t>
      </w:r>
      <w:r w:rsidR="00BB1196">
        <w:rPr>
          <w:rFonts w:ascii="Calibri" w:hAnsi="Calibri" w:cs="Calibri"/>
          <w:b/>
          <w:bCs/>
          <w:sz w:val="28"/>
          <w:szCs w:val="28"/>
        </w:rPr>
        <w:t>2024 roku</w:t>
      </w:r>
    </w:p>
    <w:p w14:paraId="335BDE3F" w14:textId="374F1C23" w:rsidR="00962A4D" w:rsidRPr="00F33ECB" w:rsidRDefault="00962A4D" w:rsidP="00962A4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F33ECB">
        <w:rPr>
          <w:rFonts w:ascii="Calibri" w:hAnsi="Calibri" w:cs="Calibri"/>
          <w:b/>
          <w:bCs/>
          <w:sz w:val="28"/>
          <w:szCs w:val="28"/>
        </w:rPr>
        <w:t xml:space="preserve">To wzrost o </w:t>
      </w:r>
      <w:r w:rsidR="00764481">
        <w:rPr>
          <w:rFonts w:ascii="Calibri" w:hAnsi="Calibri" w:cs="Calibri"/>
          <w:b/>
          <w:bCs/>
          <w:sz w:val="28"/>
          <w:szCs w:val="28"/>
        </w:rPr>
        <w:t>10,4</w:t>
      </w:r>
      <w:r w:rsidRPr="00F33ECB">
        <w:rPr>
          <w:rFonts w:ascii="Calibri" w:hAnsi="Calibri" w:cs="Calibri"/>
          <w:b/>
          <w:bCs/>
          <w:sz w:val="28"/>
          <w:szCs w:val="28"/>
        </w:rPr>
        <w:t xml:space="preserve"> proc. w porównaniu z 2023 rok</w:t>
      </w:r>
      <w:r w:rsidR="00821E6F">
        <w:rPr>
          <w:rFonts w:ascii="Calibri" w:hAnsi="Calibri" w:cs="Calibri"/>
          <w:b/>
          <w:bCs/>
          <w:sz w:val="28"/>
          <w:szCs w:val="28"/>
        </w:rPr>
        <w:t>iem</w:t>
      </w:r>
    </w:p>
    <w:p w14:paraId="6669E363" w14:textId="2AD166BD" w:rsidR="00962A4D" w:rsidRDefault="00116B72" w:rsidP="00962A4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Branża leasingowa jest na stabilnej dwucyfrowej ścieżce rozwoju</w:t>
      </w:r>
    </w:p>
    <w:p w14:paraId="07453844" w14:textId="490FEDA4" w:rsidR="00962A4D" w:rsidRDefault="003D38C0" w:rsidP="00962A4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W</w:t>
      </w:r>
      <w:r w:rsidR="00962A4D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7577C9">
        <w:rPr>
          <w:rFonts w:ascii="Calibri" w:hAnsi="Calibri" w:cs="Calibri"/>
          <w:b/>
          <w:bCs/>
          <w:sz w:val="28"/>
          <w:szCs w:val="28"/>
        </w:rPr>
        <w:t>2025</w:t>
      </w:r>
      <w:r w:rsidR="00764481">
        <w:rPr>
          <w:rFonts w:ascii="Calibri" w:hAnsi="Calibri" w:cs="Calibri"/>
          <w:b/>
          <w:bCs/>
          <w:sz w:val="28"/>
          <w:szCs w:val="28"/>
        </w:rPr>
        <w:t xml:space="preserve"> rok </w:t>
      </w:r>
      <w:r w:rsidR="00E84818">
        <w:rPr>
          <w:rFonts w:ascii="Calibri" w:hAnsi="Calibri" w:cs="Calibri"/>
          <w:b/>
          <w:bCs/>
          <w:sz w:val="28"/>
          <w:szCs w:val="28"/>
        </w:rPr>
        <w:t>leasing ponownie wzrośnie w tempie dwucyfrowym</w:t>
      </w:r>
      <w:r>
        <w:rPr>
          <w:rFonts w:ascii="Calibri" w:hAnsi="Calibri" w:cs="Calibri"/>
          <w:b/>
          <w:bCs/>
          <w:sz w:val="28"/>
          <w:szCs w:val="28"/>
        </w:rPr>
        <w:t xml:space="preserve"> – szacuje Związek Polskiego Leasingu</w:t>
      </w:r>
    </w:p>
    <w:p w14:paraId="610FEED3" w14:textId="77777777" w:rsidR="00116B72" w:rsidRPr="008814B6" w:rsidRDefault="00116B72" w:rsidP="00116B72">
      <w:pPr>
        <w:pStyle w:val="Akapitzlist"/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</w:p>
    <w:p w14:paraId="707731FB" w14:textId="6465966A" w:rsidR="00B10F27" w:rsidRPr="009F077B" w:rsidRDefault="000A145A" w:rsidP="00720711">
      <w:pPr>
        <w:spacing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>Kolejny rok z rzędu b</w:t>
      </w:r>
      <w:r w:rsidR="00962A4D" w:rsidRPr="009F077B">
        <w:rPr>
          <w:rFonts w:cstheme="minorHAnsi"/>
          <w:sz w:val="20"/>
          <w:szCs w:val="20"/>
        </w:rPr>
        <w:t xml:space="preserve">ranża leasingowa </w:t>
      </w:r>
      <w:r w:rsidRPr="009F077B">
        <w:rPr>
          <w:rFonts w:cstheme="minorHAnsi"/>
          <w:sz w:val="20"/>
          <w:szCs w:val="20"/>
        </w:rPr>
        <w:t xml:space="preserve">kończy rok dwucyfrowym wzrostem </w:t>
      </w:r>
      <w:r w:rsidR="00B3219B" w:rsidRPr="009F077B">
        <w:rPr>
          <w:rFonts w:cstheme="minorHAnsi"/>
          <w:sz w:val="20"/>
          <w:szCs w:val="20"/>
        </w:rPr>
        <w:t>udzielonego</w:t>
      </w:r>
      <w:r w:rsidRPr="009F077B">
        <w:rPr>
          <w:rFonts w:cstheme="minorHAnsi"/>
          <w:sz w:val="20"/>
          <w:szCs w:val="20"/>
        </w:rPr>
        <w:t xml:space="preserve"> finansowania</w:t>
      </w:r>
      <w:r w:rsidR="00B3219B" w:rsidRPr="009F077B">
        <w:rPr>
          <w:rFonts w:cstheme="minorHAnsi"/>
          <w:sz w:val="20"/>
          <w:szCs w:val="20"/>
        </w:rPr>
        <w:t xml:space="preserve"> </w:t>
      </w:r>
      <w:r w:rsidR="00C8407A">
        <w:rPr>
          <w:rFonts w:cstheme="minorHAnsi"/>
          <w:sz w:val="20"/>
          <w:szCs w:val="20"/>
        </w:rPr>
        <w:t xml:space="preserve">dla </w:t>
      </w:r>
      <w:r w:rsidR="00B3219B" w:rsidRPr="009F077B">
        <w:rPr>
          <w:rFonts w:cstheme="minorHAnsi"/>
          <w:sz w:val="20"/>
          <w:szCs w:val="20"/>
        </w:rPr>
        <w:t>firm w Polsce</w:t>
      </w:r>
      <w:r w:rsidR="00962A4D" w:rsidRPr="009F077B">
        <w:rPr>
          <w:rFonts w:cstheme="minorHAnsi"/>
          <w:sz w:val="20"/>
          <w:szCs w:val="20"/>
        </w:rPr>
        <w:t>.</w:t>
      </w:r>
      <w:r w:rsidR="002850D6" w:rsidRPr="009F077B">
        <w:rPr>
          <w:rFonts w:cstheme="minorHAnsi"/>
          <w:sz w:val="20"/>
          <w:szCs w:val="20"/>
        </w:rPr>
        <w:t xml:space="preserve"> W 2024 roku </w:t>
      </w:r>
      <w:r w:rsidR="00CE5251" w:rsidRPr="009F077B">
        <w:rPr>
          <w:rFonts w:cstheme="minorHAnsi"/>
          <w:sz w:val="20"/>
          <w:szCs w:val="20"/>
        </w:rPr>
        <w:t>w</w:t>
      </w:r>
      <w:r w:rsidR="00C8407A">
        <w:rPr>
          <w:rFonts w:cstheme="minorHAnsi"/>
          <w:sz w:val="20"/>
          <w:szCs w:val="20"/>
        </w:rPr>
        <w:t>z</w:t>
      </w:r>
      <w:r w:rsidR="00CE5251" w:rsidRPr="009F077B">
        <w:rPr>
          <w:rFonts w:cstheme="minorHAnsi"/>
          <w:sz w:val="20"/>
          <w:szCs w:val="20"/>
        </w:rPr>
        <w:t>rosła o 10,4 proc. Tym samym wartość s</w:t>
      </w:r>
      <w:r w:rsidR="00962A4D" w:rsidRPr="009F077B">
        <w:rPr>
          <w:rFonts w:cstheme="minorHAnsi"/>
          <w:sz w:val="20"/>
          <w:szCs w:val="20"/>
        </w:rPr>
        <w:t>finansowa</w:t>
      </w:r>
      <w:r w:rsidR="00CE5251" w:rsidRPr="009F077B">
        <w:rPr>
          <w:rFonts w:cstheme="minorHAnsi"/>
          <w:sz w:val="20"/>
          <w:szCs w:val="20"/>
        </w:rPr>
        <w:t>nych</w:t>
      </w:r>
      <w:r w:rsidR="00962A4D" w:rsidRPr="009F077B">
        <w:rPr>
          <w:rFonts w:cstheme="minorHAnsi"/>
          <w:sz w:val="20"/>
          <w:szCs w:val="20"/>
        </w:rPr>
        <w:t xml:space="preserve"> ruchomości i nieruchomości </w:t>
      </w:r>
      <w:r w:rsidR="00CE5251" w:rsidRPr="009F077B">
        <w:rPr>
          <w:rFonts w:cstheme="minorHAnsi"/>
          <w:sz w:val="20"/>
          <w:szCs w:val="20"/>
        </w:rPr>
        <w:t>wyniosł</w:t>
      </w:r>
      <w:r w:rsidR="00373609" w:rsidRPr="009F077B">
        <w:rPr>
          <w:rFonts w:cstheme="minorHAnsi"/>
          <w:sz w:val="20"/>
          <w:szCs w:val="20"/>
        </w:rPr>
        <w:t>a</w:t>
      </w:r>
      <w:r w:rsidR="00CE5251" w:rsidRPr="009F077B">
        <w:rPr>
          <w:rFonts w:cstheme="minorHAnsi"/>
          <w:sz w:val="20"/>
          <w:szCs w:val="20"/>
        </w:rPr>
        <w:t xml:space="preserve"> 110,5 mld zł</w:t>
      </w:r>
      <w:r w:rsidR="00510ACB" w:rsidRPr="009F077B">
        <w:rPr>
          <w:rFonts w:cstheme="minorHAnsi"/>
          <w:sz w:val="20"/>
          <w:szCs w:val="20"/>
        </w:rPr>
        <w:t xml:space="preserve"> w ubiegłym roku. </w:t>
      </w:r>
      <w:r w:rsidR="008648A3" w:rsidRPr="009F077B">
        <w:rPr>
          <w:rFonts w:cstheme="minorHAnsi"/>
          <w:sz w:val="20"/>
          <w:szCs w:val="20"/>
        </w:rPr>
        <w:t>Wartość finansowania udzielonego w formie leasingu wyniosła 96,9 mld zł, co oznacza skok o prawie 12 proc. Z kolei wartość pożyczek leasingowych zwiększyła się zaledwie o 2,2 proc., do 13,6 mld zł</w:t>
      </w:r>
      <w:r w:rsidR="001054ED">
        <w:rPr>
          <w:rFonts w:cstheme="minorHAnsi"/>
          <w:sz w:val="20"/>
          <w:szCs w:val="20"/>
        </w:rPr>
        <w:t xml:space="preserve">. </w:t>
      </w:r>
      <w:r w:rsidR="00F64BF2">
        <w:rPr>
          <w:rFonts w:cstheme="minorHAnsi"/>
          <w:sz w:val="20"/>
          <w:szCs w:val="20"/>
        </w:rPr>
        <w:t xml:space="preserve">A nieznaczny wzrost spowodował, że </w:t>
      </w:r>
      <w:r w:rsidR="004D1ABE">
        <w:rPr>
          <w:rFonts w:cstheme="minorHAnsi"/>
          <w:sz w:val="20"/>
          <w:szCs w:val="20"/>
        </w:rPr>
        <w:t>udział pożyczki</w:t>
      </w:r>
      <w:r w:rsidR="00651AA9">
        <w:rPr>
          <w:rFonts w:cstheme="minorHAnsi"/>
          <w:sz w:val="20"/>
          <w:szCs w:val="20"/>
        </w:rPr>
        <w:t xml:space="preserve"> leasingowej</w:t>
      </w:r>
      <w:r w:rsidR="004D1ABE">
        <w:rPr>
          <w:rFonts w:cstheme="minorHAnsi"/>
          <w:sz w:val="20"/>
          <w:szCs w:val="20"/>
        </w:rPr>
        <w:t xml:space="preserve"> w ogólnej wartości sfinansowanych transakcji zmniejszył się rok do roku z 13,3</w:t>
      </w:r>
      <w:r w:rsidR="00623464">
        <w:rPr>
          <w:rFonts w:cstheme="minorHAnsi"/>
          <w:sz w:val="20"/>
          <w:szCs w:val="20"/>
        </w:rPr>
        <w:t xml:space="preserve"> proc.</w:t>
      </w:r>
      <w:r w:rsidR="004D1ABE">
        <w:rPr>
          <w:rFonts w:cstheme="minorHAnsi"/>
          <w:sz w:val="20"/>
          <w:szCs w:val="20"/>
        </w:rPr>
        <w:t xml:space="preserve"> do 12,3</w:t>
      </w:r>
      <w:r w:rsidR="00623464">
        <w:rPr>
          <w:rFonts w:cstheme="minorHAnsi"/>
          <w:sz w:val="20"/>
          <w:szCs w:val="20"/>
        </w:rPr>
        <w:t xml:space="preserve"> proc</w:t>
      </w:r>
      <w:r w:rsidR="004D1ABE">
        <w:rPr>
          <w:rFonts w:cstheme="minorHAnsi"/>
          <w:sz w:val="20"/>
          <w:szCs w:val="20"/>
        </w:rPr>
        <w:t>. Niewątpliwie jedną z przyczyn tego stanu rzeczy są opóźnienia w wykorzystywaniu funduszy unijnych, których absorbcja jest głównie wspierana umowami pożyczki</w:t>
      </w:r>
      <w:r w:rsidR="00B10F27">
        <w:rPr>
          <w:rFonts w:cstheme="minorHAnsi"/>
          <w:sz w:val="20"/>
          <w:szCs w:val="20"/>
        </w:rPr>
        <w:t>.</w:t>
      </w:r>
    </w:p>
    <w:p w14:paraId="592FD838" w14:textId="77777777" w:rsidR="00B10F27" w:rsidRDefault="00B10F27" w:rsidP="007727C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462CAB27" w14:textId="5C46EBCD" w:rsidR="007727CD" w:rsidRDefault="00C8407A" w:rsidP="007727CD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 pierwszym i drugim kwartale 2024 roku finansowanie leasingiem rosło w tempie odpowiednio</w:t>
      </w:r>
      <w:r w:rsidR="00525BA2">
        <w:rPr>
          <w:rFonts w:cstheme="minorHAnsi"/>
          <w:sz w:val="20"/>
          <w:szCs w:val="20"/>
        </w:rPr>
        <w:t xml:space="preserve"> 14,6 proc. i 12,4 proc. </w:t>
      </w:r>
      <w:r w:rsidR="00F64BF2">
        <w:rPr>
          <w:rFonts w:cstheme="minorHAnsi"/>
          <w:sz w:val="20"/>
          <w:szCs w:val="20"/>
        </w:rPr>
        <w:t xml:space="preserve">Po jednocyfrowym wzroście w trzecim kwartale wynoszącym </w:t>
      </w:r>
      <w:r w:rsidR="00087C5A">
        <w:rPr>
          <w:rFonts w:cstheme="minorHAnsi"/>
          <w:sz w:val="20"/>
          <w:szCs w:val="20"/>
        </w:rPr>
        <w:t>4 proc., w</w:t>
      </w:r>
      <w:r w:rsidR="002267A3" w:rsidRPr="009F077B">
        <w:rPr>
          <w:rFonts w:cstheme="minorHAnsi"/>
          <w:sz w:val="20"/>
          <w:szCs w:val="20"/>
        </w:rPr>
        <w:t xml:space="preserve"> ostatnim kwartale firmy leasingowe znów wróciły do dwucyfrowego wzrostu, który wyniósł 10,2 proc. </w:t>
      </w:r>
    </w:p>
    <w:p w14:paraId="27E6B153" w14:textId="77777777" w:rsidR="00B10F27" w:rsidRPr="009F077B" w:rsidRDefault="00B10F27" w:rsidP="007727C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F8A94F5" w14:textId="2198F00D" w:rsidR="008077F1" w:rsidRPr="009F077B" w:rsidRDefault="002267A3" w:rsidP="008077F1">
      <w:pPr>
        <w:spacing w:line="276" w:lineRule="auto"/>
        <w:jc w:val="both"/>
        <w:rPr>
          <w:rFonts w:cstheme="minorHAnsi"/>
          <w:i/>
          <w:iCs/>
          <w:sz w:val="20"/>
          <w:szCs w:val="20"/>
        </w:rPr>
      </w:pPr>
      <w:r w:rsidRPr="009F077B">
        <w:rPr>
          <w:rFonts w:cstheme="minorHAnsi"/>
          <w:sz w:val="20"/>
          <w:szCs w:val="20"/>
        </w:rPr>
        <w:t xml:space="preserve">- </w:t>
      </w:r>
      <w:r w:rsidRPr="009F077B">
        <w:rPr>
          <w:rFonts w:cstheme="minorHAnsi"/>
          <w:i/>
          <w:iCs/>
          <w:sz w:val="20"/>
          <w:szCs w:val="20"/>
        </w:rPr>
        <w:t>Cieszy nas</w:t>
      </w:r>
      <w:r w:rsidR="00A43EBA" w:rsidRPr="009F077B">
        <w:rPr>
          <w:rFonts w:cstheme="minorHAnsi"/>
          <w:i/>
          <w:iCs/>
          <w:sz w:val="20"/>
          <w:szCs w:val="20"/>
        </w:rPr>
        <w:t xml:space="preserve">, że </w:t>
      </w:r>
      <w:r w:rsidRPr="009F077B">
        <w:rPr>
          <w:rFonts w:cstheme="minorHAnsi"/>
          <w:i/>
          <w:iCs/>
          <w:sz w:val="20"/>
          <w:szCs w:val="20"/>
        </w:rPr>
        <w:t xml:space="preserve">kolejny rok </w:t>
      </w:r>
      <w:r w:rsidR="00A43EBA" w:rsidRPr="009F077B">
        <w:rPr>
          <w:rFonts w:cstheme="minorHAnsi"/>
          <w:i/>
          <w:iCs/>
          <w:sz w:val="20"/>
          <w:szCs w:val="20"/>
        </w:rPr>
        <w:t xml:space="preserve">branża leasingowa kończy </w:t>
      </w:r>
      <w:r w:rsidRPr="009F077B">
        <w:rPr>
          <w:rFonts w:cstheme="minorHAnsi"/>
          <w:i/>
          <w:iCs/>
          <w:sz w:val="20"/>
          <w:szCs w:val="20"/>
        </w:rPr>
        <w:t xml:space="preserve">z </w:t>
      </w:r>
      <w:r w:rsidR="004D1ABE">
        <w:rPr>
          <w:rFonts w:cstheme="minorHAnsi"/>
          <w:i/>
          <w:iCs/>
          <w:sz w:val="20"/>
          <w:szCs w:val="20"/>
        </w:rPr>
        <w:t>bardzo dobrym wynikiem</w:t>
      </w:r>
      <w:r w:rsidR="00A43EBA" w:rsidRPr="009F077B">
        <w:rPr>
          <w:rFonts w:cstheme="minorHAnsi"/>
          <w:i/>
          <w:iCs/>
          <w:sz w:val="20"/>
          <w:szCs w:val="20"/>
        </w:rPr>
        <w:t xml:space="preserve">. </w:t>
      </w:r>
      <w:r w:rsidR="00A95AE3" w:rsidRPr="009F077B">
        <w:rPr>
          <w:rFonts w:cstheme="minorHAnsi"/>
          <w:i/>
          <w:iCs/>
          <w:sz w:val="20"/>
          <w:szCs w:val="20"/>
        </w:rPr>
        <w:t>Zgodnie także z naszymi prognozami, wyhamowanie aktywności inwestycyjnej polskich firm ograniczyło się tylko do tego jednego kwartału. I to jest bardzo dobra informacja</w:t>
      </w:r>
      <w:r w:rsidR="00EF2AC7" w:rsidRPr="009F077B">
        <w:rPr>
          <w:rFonts w:cstheme="minorHAnsi"/>
          <w:i/>
          <w:iCs/>
          <w:sz w:val="20"/>
          <w:szCs w:val="20"/>
        </w:rPr>
        <w:t xml:space="preserve">. </w:t>
      </w:r>
      <w:r w:rsidR="007A6DED" w:rsidRPr="009F077B">
        <w:rPr>
          <w:rFonts w:cstheme="minorHAnsi"/>
          <w:i/>
          <w:iCs/>
          <w:sz w:val="20"/>
          <w:szCs w:val="20"/>
        </w:rPr>
        <w:t>O</w:t>
      </w:r>
      <w:r w:rsidR="00EF2AC7" w:rsidRPr="009F077B">
        <w:rPr>
          <w:rFonts w:cstheme="minorHAnsi"/>
          <w:i/>
          <w:iCs/>
          <w:sz w:val="20"/>
          <w:szCs w:val="20"/>
        </w:rPr>
        <w:t>ptymist</w:t>
      </w:r>
      <w:r w:rsidR="007A6DED" w:rsidRPr="009F077B">
        <w:rPr>
          <w:rFonts w:cstheme="minorHAnsi"/>
          <w:i/>
          <w:iCs/>
          <w:sz w:val="20"/>
          <w:szCs w:val="20"/>
        </w:rPr>
        <w:t xml:space="preserve">ycznie patrzymy także w przyszłość - </w:t>
      </w:r>
      <w:r w:rsidR="008077F1" w:rsidRPr="009F077B">
        <w:rPr>
          <w:rFonts w:cstheme="minorHAnsi"/>
          <w:sz w:val="20"/>
          <w:szCs w:val="20"/>
        </w:rPr>
        <w:t xml:space="preserve">mówi </w:t>
      </w:r>
      <w:r w:rsidR="008077F1" w:rsidRPr="009F077B">
        <w:rPr>
          <w:rFonts w:cstheme="minorHAnsi"/>
          <w:b/>
          <w:bCs/>
          <w:sz w:val="20"/>
          <w:szCs w:val="20"/>
        </w:rPr>
        <w:t>Monika Constant</w:t>
      </w:r>
      <w:r w:rsidR="008077F1" w:rsidRPr="009F077B">
        <w:rPr>
          <w:rFonts w:cstheme="minorHAnsi"/>
          <w:sz w:val="20"/>
          <w:szCs w:val="20"/>
        </w:rPr>
        <w:t xml:space="preserve">, prezeska Związku Polskiego Leasingu. </w:t>
      </w:r>
      <w:r w:rsidR="008077F1" w:rsidRPr="009F077B">
        <w:rPr>
          <w:rFonts w:cstheme="minorHAnsi"/>
          <w:i/>
          <w:iCs/>
          <w:sz w:val="20"/>
          <w:szCs w:val="20"/>
        </w:rPr>
        <w:t xml:space="preserve">- </w:t>
      </w:r>
      <w:r w:rsidR="004D1ABE">
        <w:rPr>
          <w:rFonts w:cstheme="minorHAnsi"/>
          <w:i/>
          <w:iCs/>
          <w:sz w:val="20"/>
          <w:szCs w:val="20"/>
        </w:rPr>
        <w:t>S</w:t>
      </w:r>
      <w:r w:rsidR="008077F1" w:rsidRPr="009F077B">
        <w:rPr>
          <w:rFonts w:cstheme="minorHAnsi"/>
          <w:i/>
          <w:iCs/>
          <w:sz w:val="20"/>
          <w:szCs w:val="20"/>
        </w:rPr>
        <w:t xml:space="preserve">podziewamy się, że </w:t>
      </w:r>
      <w:r w:rsidR="004D1ABE">
        <w:rPr>
          <w:rFonts w:cstheme="minorHAnsi"/>
          <w:i/>
          <w:iCs/>
          <w:sz w:val="20"/>
          <w:szCs w:val="20"/>
        </w:rPr>
        <w:t xml:space="preserve">w bieżącym roku </w:t>
      </w:r>
      <w:r w:rsidR="008077F1" w:rsidRPr="009F077B">
        <w:rPr>
          <w:rFonts w:cstheme="minorHAnsi"/>
          <w:i/>
          <w:iCs/>
          <w:sz w:val="20"/>
          <w:szCs w:val="20"/>
        </w:rPr>
        <w:t>rynek urośnie</w:t>
      </w:r>
      <w:r w:rsidR="004D1ABE">
        <w:rPr>
          <w:rFonts w:cstheme="minorHAnsi"/>
          <w:i/>
          <w:iCs/>
          <w:sz w:val="20"/>
          <w:szCs w:val="20"/>
        </w:rPr>
        <w:t xml:space="preserve"> </w:t>
      </w:r>
      <w:r w:rsidR="008077F1" w:rsidRPr="009F077B">
        <w:rPr>
          <w:rFonts w:cstheme="minorHAnsi"/>
          <w:i/>
          <w:iCs/>
          <w:sz w:val="20"/>
          <w:szCs w:val="20"/>
        </w:rPr>
        <w:t>w</w:t>
      </w:r>
      <w:r w:rsidR="004D1ABE">
        <w:rPr>
          <w:rFonts w:cstheme="minorHAnsi"/>
          <w:i/>
          <w:iCs/>
          <w:sz w:val="20"/>
          <w:szCs w:val="20"/>
        </w:rPr>
        <w:t xml:space="preserve"> podobnym</w:t>
      </w:r>
      <w:r w:rsidR="008077F1" w:rsidRPr="009F077B">
        <w:rPr>
          <w:rFonts w:cstheme="minorHAnsi"/>
          <w:i/>
          <w:iCs/>
          <w:sz w:val="20"/>
          <w:szCs w:val="20"/>
        </w:rPr>
        <w:t xml:space="preserve"> tempie. Prognozy dotyczące wzrostu PKB na 2025 rok są dobre. Oczekujemy przyśpieszenia </w:t>
      </w:r>
      <w:r w:rsidR="00E56D50" w:rsidRPr="009F077B">
        <w:rPr>
          <w:rFonts w:cstheme="minorHAnsi"/>
          <w:i/>
          <w:iCs/>
          <w:sz w:val="20"/>
          <w:szCs w:val="20"/>
        </w:rPr>
        <w:t>pozyskiwania</w:t>
      </w:r>
      <w:r w:rsidR="008077F1" w:rsidRPr="009F077B">
        <w:rPr>
          <w:rFonts w:cstheme="minorHAnsi"/>
          <w:i/>
          <w:iCs/>
          <w:sz w:val="20"/>
          <w:szCs w:val="20"/>
        </w:rPr>
        <w:t xml:space="preserve"> funduszy unijnych, co zwiększy inwestycje budowlane</w:t>
      </w:r>
      <w:r w:rsidR="004D1ABE">
        <w:rPr>
          <w:rFonts w:cstheme="minorHAnsi"/>
          <w:i/>
          <w:iCs/>
          <w:sz w:val="20"/>
          <w:szCs w:val="20"/>
        </w:rPr>
        <w:t xml:space="preserve">, </w:t>
      </w:r>
      <w:r w:rsidR="00087C5A">
        <w:rPr>
          <w:rFonts w:cstheme="minorHAnsi"/>
          <w:i/>
          <w:iCs/>
          <w:sz w:val="20"/>
          <w:szCs w:val="20"/>
        </w:rPr>
        <w:t>infrastrukturalne</w:t>
      </w:r>
      <w:r w:rsidR="00C8407A">
        <w:rPr>
          <w:rFonts w:cstheme="minorHAnsi"/>
          <w:i/>
          <w:iCs/>
          <w:sz w:val="20"/>
          <w:szCs w:val="20"/>
        </w:rPr>
        <w:t xml:space="preserve"> czy </w:t>
      </w:r>
      <w:r w:rsidR="004D1ABE">
        <w:rPr>
          <w:rFonts w:cstheme="minorHAnsi"/>
          <w:i/>
          <w:iCs/>
          <w:sz w:val="20"/>
          <w:szCs w:val="20"/>
        </w:rPr>
        <w:t xml:space="preserve">w sektorze </w:t>
      </w:r>
      <w:proofErr w:type="spellStart"/>
      <w:r w:rsidR="004D1ABE">
        <w:rPr>
          <w:rFonts w:cstheme="minorHAnsi"/>
          <w:i/>
          <w:iCs/>
          <w:sz w:val="20"/>
          <w:szCs w:val="20"/>
        </w:rPr>
        <w:t>agro</w:t>
      </w:r>
      <w:proofErr w:type="spellEnd"/>
      <w:r w:rsidR="008077F1" w:rsidRPr="009F077B">
        <w:rPr>
          <w:rFonts w:cstheme="minorHAnsi"/>
          <w:i/>
          <w:iCs/>
          <w:sz w:val="20"/>
          <w:szCs w:val="20"/>
        </w:rPr>
        <w:t>. Liczmy na odblokow</w:t>
      </w:r>
      <w:r w:rsidR="001D6F0C">
        <w:rPr>
          <w:rFonts w:cstheme="minorHAnsi"/>
          <w:i/>
          <w:iCs/>
          <w:sz w:val="20"/>
          <w:szCs w:val="20"/>
        </w:rPr>
        <w:t>yw</w:t>
      </w:r>
      <w:r w:rsidR="008077F1" w:rsidRPr="009F077B">
        <w:rPr>
          <w:rFonts w:cstheme="minorHAnsi"/>
          <w:i/>
          <w:iCs/>
          <w:sz w:val="20"/>
          <w:szCs w:val="20"/>
        </w:rPr>
        <w:t xml:space="preserve">anie funduszy europejskich w ramach KPO, co także spowoduje większą otwartość przedsiębiorców na inwestycje. A </w:t>
      </w:r>
      <w:r w:rsidR="00430485">
        <w:rPr>
          <w:rFonts w:cstheme="minorHAnsi"/>
          <w:i/>
          <w:iCs/>
          <w:sz w:val="20"/>
          <w:szCs w:val="20"/>
        </w:rPr>
        <w:t>dla 66</w:t>
      </w:r>
      <w:r w:rsidR="00623464">
        <w:rPr>
          <w:rFonts w:cstheme="minorHAnsi"/>
          <w:i/>
          <w:iCs/>
          <w:sz w:val="20"/>
          <w:szCs w:val="20"/>
        </w:rPr>
        <w:t xml:space="preserve"> proc.</w:t>
      </w:r>
      <w:r w:rsidR="00430485">
        <w:rPr>
          <w:rFonts w:cstheme="minorHAnsi"/>
          <w:i/>
          <w:iCs/>
          <w:sz w:val="20"/>
          <w:szCs w:val="20"/>
        </w:rPr>
        <w:t xml:space="preserve"> z nich leasing jest istotnym źródłem finansowania inwestycji</w:t>
      </w:r>
      <w:r w:rsidR="008077F1" w:rsidRPr="009F077B">
        <w:rPr>
          <w:rFonts w:cstheme="minorHAnsi"/>
          <w:sz w:val="20"/>
          <w:szCs w:val="20"/>
        </w:rPr>
        <w:t xml:space="preserve"> – dodaje.</w:t>
      </w:r>
    </w:p>
    <w:p w14:paraId="306DB772" w14:textId="3EFDB391" w:rsidR="00B55721" w:rsidRPr="009F077B" w:rsidRDefault="002267A3" w:rsidP="000E3F2C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 xml:space="preserve">Eksperci Związku Polskiego Leasingu szacują, że w </w:t>
      </w:r>
      <w:r w:rsidR="00E56D50" w:rsidRPr="009F077B">
        <w:rPr>
          <w:rFonts w:cstheme="minorHAnsi"/>
          <w:sz w:val="20"/>
          <w:szCs w:val="20"/>
        </w:rPr>
        <w:t>2025</w:t>
      </w:r>
      <w:r w:rsidRPr="009F077B">
        <w:rPr>
          <w:rFonts w:cstheme="minorHAnsi"/>
          <w:sz w:val="20"/>
          <w:szCs w:val="20"/>
        </w:rPr>
        <w:t xml:space="preserve"> roku rynek wzrośnie o </w:t>
      </w:r>
      <w:r w:rsidR="00955EA8" w:rsidRPr="009F077B">
        <w:rPr>
          <w:rFonts w:cstheme="minorHAnsi"/>
          <w:sz w:val="20"/>
          <w:szCs w:val="20"/>
        </w:rPr>
        <w:t>13 proc</w:t>
      </w:r>
      <w:r w:rsidRPr="009F077B">
        <w:rPr>
          <w:rFonts w:cstheme="minorHAnsi"/>
          <w:sz w:val="20"/>
          <w:szCs w:val="20"/>
        </w:rPr>
        <w:t xml:space="preserve">., a łączne aktywa sfinansowane przez firmy leasingowe w całym </w:t>
      </w:r>
      <w:r w:rsidR="00955EA8" w:rsidRPr="009F077B">
        <w:rPr>
          <w:rFonts w:cstheme="minorHAnsi"/>
          <w:sz w:val="20"/>
          <w:szCs w:val="20"/>
        </w:rPr>
        <w:t xml:space="preserve">obecnym </w:t>
      </w:r>
      <w:r w:rsidRPr="009F077B">
        <w:rPr>
          <w:rFonts w:cstheme="minorHAnsi"/>
          <w:sz w:val="20"/>
          <w:szCs w:val="20"/>
        </w:rPr>
        <w:t xml:space="preserve">roku przekroczą </w:t>
      </w:r>
      <w:r w:rsidR="00955EA8" w:rsidRPr="009F077B">
        <w:rPr>
          <w:rFonts w:cstheme="minorHAnsi"/>
          <w:sz w:val="20"/>
          <w:szCs w:val="20"/>
        </w:rPr>
        <w:t>125</w:t>
      </w:r>
      <w:r w:rsidRPr="009F077B">
        <w:rPr>
          <w:rFonts w:cstheme="minorHAnsi"/>
          <w:sz w:val="20"/>
          <w:szCs w:val="20"/>
        </w:rPr>
        <w:t xml:space="preserve"> mld zł. </w:t>
      </w:r>
      <w:r w:rsidR="00232A86" w:rsidRPr="009F077B">
        <w:rPr>
          <w:rFonts w:cstheme="minorHAnsi"/>
          <w:sz w:val="20"/>
          <w:szCs w:val="20"/>
        </w:rPr>
        <w:t xml:space="preserve">W </w:t>
      </w:r>
      <w:r w:rsidR="00026258" w:rsidRPr="009F077B">
        <w:rPr>
          <w:rFonts w:cstheme="minorHAnsi"/>
          <w:sz w:val="20"/>
          <w:szCs w:val="20"/>
        </w:rPr>
        <w:t xml:space="preserve">podobnym tempie wzrośnie finansowanie udzielone leasingiem (o 13,3 proc.), jak i pożyczkami </w:t>
      </w:r>
      <w:r w:rsidR="00651AA9">
        <w:rPr>
          <w:rFonts w:cstheme="minorHAnsi"/>
          <w:sz w:val="20"/>
          <w:szCs w:val="20"/>
        </w:rPr>
        <w:t xml:space="preserve">leasingowymi </w:t>
      </w:r>
      <w:r w:rsidR="00026258" w:rsidRPr="009F077B">
        <w:rPr>
          <w:rFonts w:cstheme="minorHAnsi"/>
          <w:sz w:val="20"/>
          <w:szCs w:val="20"/>
        </w:rPr>
        <w:t>(</w:t>
      </w:r>
      <w:r w:rsidR="00852158" w:rsidRPr="009F077B">
        <w:rPr>
          <w:rFonts w:cstheme="minorHAnsi"/>
          <w:sz w:val="20"/>
          <w:szCs w:val="20"/>
        </w:rPr>
        <w:t>12,9 proc.).</w:t>
      </w:r>
    </w:p>
    <w:p w14:paraId="4D2BBE60" w14:textId="77777777" w:rsidR="00CE5251" w:rsidRPr="009F077B" w:rsidRDefault="00CE5251" w:rsidP="00720711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0ABCA7AC" w14:textId="7675C87D" w:rsidR="003C1EEB" w:rsidRDefault="003C1EEB" w:rsidP="00720711">
      <w:pPr>
        <w:spacing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lastRenderedPageBreak/>
        <w:t xml:space="preserve">- </w:t>
      </w:r>
      <w:r w:rsidRPr="009F077B">
        <w:rPr>
          <w:rFonts w:cstheme="minorHAnsi"/>
          <w:i/>
          <w:iCs/>
          <w:sz w:val="20"/>
          <w:szCs w:val="20"/>
        </w:rPr>
        <w:t xml:space="preserve">Z pożyczek korzystają </w:t>
      </w:r>
      <w:r w:rsidR="00C47213" w:rsidRPr="009F077B">
        <w:rPr>
          <w:rFonts w:cstheme="minorHAnsi"/>
          <w:i/>
          <w:iCs/>
          <w:sz w:val="20"/>
          <w:szCs w:val="20"/>
        </w:rPr>
        <w:t xml:space="preserve">przede wszystkim przedsiębiorcy rolni. </w:t>
      </w:r>
      <w:r w:rsidR="00BB5B97" w:rsidRPr="009F077B">
        <w:rPr>
          <w:rFonts w:cstheme="minorHAnsi"/>
          <w:i/>
          <w:iCs/>
          <w:sz w:val="20"/>
          <w:szCs w:val="20"/>
        </w:rPr>
        <w:t xml:space="preserve">Stanowią jedną trzecią korzystających z </w:t>
      </w:r>
      <w:r w:rsidR="00F54E67" w:rsidRPr="009F077B">
        <w:rPr>
          <w:rFonts w:cstheme="minorHAnsi"/>
          <w:i/>
          <w:iCs/>
          <w:sz w:val="20"/>
          <w:szCs w:val="20"/>
        </w:rPr>
        <w:t xml:space="preserve">pożyczek . W </w:t>
      </w:r>
      <w:r w:rsidR="003A40AA" w:rsidRPr="009F077B">
        <w:rPr>
          <w:rFonts w:cstheme="minorHAnsi"/>
          <w:i/>
          <w:iCs/>
          <w:sz w:val="20"/>
          <w:szCs w:val="20"/>
        </w:rPr>
        <w:t>2024</w:t>
      </w:r>
      <w:r w:rsidR="00F54E67" w:rsidRPr="009F077B">
        <w:rPr>
          <w:rFonts w:cstheme="minorHAnsi"/>
          <w:i/>
          <w:iCs/>
          <w:sz w:val="20"/>
          <w:szCs w:val="20"/>
        </w:rPr>
        <w:t xml:space="preserve"> roku </w:t>
      </w:r>
      <w:r w:rsidR="00382534" w:rsidRPr="009F077B">
        <w:rPr>
          <w:rFonts w:cstheme="minorHAnsi"/>
          <w:i/>
          <w:iCs/>
          <w:sz w:val="20"/>
          <w:szCs w:val="20"/>
        </w:rPr>
        <w:t>wartość udzielonych im pożyczek</w:t>
      </w:r>
      <w:r w:rsidR="00AF1D33" w:rsidRPr="009F077B">
        <w:rPr>
          <w:rFonts w:cstheme="minorHAnsi"/>
          <w:i/>
          <w:iCs/>
          <w:sz w:val="20"/>
          <w:szCs w:val="20"/>
        </w:rPr>
        <w:t xml:space="preserve"> zmniejszył</w:t>
      </w:r>
      <w:r w:rsidR="00382534" w:rsidRPr="009F077B">
        <w:rPr>
          <w:rFonts w:cstheme="minorHAnsi"/>
          <w:i/>
          <w:iCs/>
          <w:sz w:val="20"/>
          <w:szCs w:val="20"/>
        </w:rPr>
        <w:t>a</w:t>
      </w:r>
      <w:r w:rsidR="00AF1D33" w:rsidRPr="009F077B">
        <w:rPr>
          <w:rFonts w:cstheme="minorHAnsi"/>
          <w:i/>
          <w:iCs/>
          <w:sz w:val="20"/>
          <w:szCs w:val="20"/>
        </w:rPr>
        <w:t xml:space="preserve"> się o prawie 2 proc.</w:t>
      </w:r>
      <w:r w:rsidR="00382534" w:rsidRPr="009F077B">
        <w:rPr>
          <w:rFonts w:cstheme="minorHAnsi"/>
          <w:i/>
          <w:iCs/>
          <w:sz w:val="20"/>
          <w:szCs w:val="20"/>
        </w:rPr>
        <w:t>, do 4,65 mld zł. Wpływ na to miało zamieszanie spowodowane wejściem w życie na początku roku zmian w prawie na podstawie których rolnicy zaczęli być traktowani jak konsumenci, co ograniczyło im dostęp do finansowania udzielanego przez firmy leasingowe. W kwietniu weszła w życie nowelizacja, która uchyliła zapis niekorzystany dla rolników, ale kilka miesięcy zamieszani</w:t>
      </w:r>
      <w:r w:rsidR="003A40AA" w:rsidRPr="009F077B">
        <w:rPr>
          <w:rFonts w:cstheme="minorHAnsi"/>
          <w:i/>
          <w:iCs/>
          <w:sz w:val="20"/>
          <w:szCs w:val="20"/>
        </w:rPr>
        <w:t>a</w:t>
      </w:r>
      <w:r w:rsidR="00382534" w:rsidRPr="009F077B">
        <w:rPr>
          <w:rFonts w:cstheme="minorHAnsi"/>
          <w:i/>
          <w:iCs/>
          <w:sz w:val="20"/>
          <w:szCs w:val="20"/>
        </w:rPr>
        <w:t xml:space="preserve"> miało wpływ na </w:t>
      </w:r>
      <w:r w:rsidR="00CD267F" w:rsidRPr="009F077B">
        <w:rPr>
          <w:rFonts w:cstheme="minorHAnsi"/>
          <w:i/>
          <w:iCs/>
          <w:sz w:val="20"/>
          <w:szCs w:val="20"/>
        </w:rPr>
        <w:t>rynek</w:t>
      </w:r>
      <w:r w:rsidR="00430485">
        <w:rPr>
          <w:rFonts w:cstheme="minorHAnsi"/>
          <w:i/>
          <w:iCs/>
          <w:sz w:val="20"/>
          <w:szCs w:val="20"/>
        </w:rPr>
        <w:t xml:space="preserve"> </w:t>
      </w:r>
      <w:r w:rsidR="00CD267F" w:rsidRPr="009F077B">
        <w:rPr>
          <w:rFonts w:cstheme="minorHAnsi"/>
          <w:i/>
          <w:iCs/>
          <w:sz w:val="20"/>
          <w:szCs w:val="20"/>
        </w:rPr>
        <w:t xml:space="preserve">– mówi </w:t>
      </w:r>
      <w:r w:rsidR="00382534" w:rsidRPr="009F077B">
        <w:rPr>
          <w:rFonts w:cstheme="minorHAnsi"/>
          <w:b/>
          <w:bCs/>
          <w:sz w:val="20"/>
          <w:szCs w:val="20"/>
        </w:rPr>
        <w:t>Monika Constant</w:t>
      </w:r>
      <w:r w:rsidR="00382534" w:rsidRPr="009F077B">
        <w:rPr>
          <w:rFonts w:cstheme="minorHAnsi"/>
          <w:sz w:val="20"/>
          <w:szCs w:val="20"/>
        </w:rPr>
        <w:t xml:space="preserve">. </w:t>
      </w:r>
    </w:p>
    <w:p w14:paraId="248FDF61" w14:textId="77777777" w:rsidR="00B10F27" w:rsidRDefault="00B10F27" w:rsidP="00720711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4F096492" w14:textId="3908AEFD" w:rsidR="00B10F27" w:rsidRPr="009F077B" w:rsidRDefault="00B10F27" w:rsidP="00720711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inline distT="0" distB="0" distL="0" distR="0" wp14:anchorId="1D2DE0A7" wp14:editId="7F1B6224">
            <wp:extent cx="5759450" cy="3551555"/>
            <wp:effectExtent l="0" t="0" r="0" b="0"/>
            <wp:docPr id="795301082" name="Obraz 2" descr="Obraz zawierający tekst, zrzut ekranu, Czcionka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301082" name="Obraz 2" descr="Obraz zawierający tekst, zrzut ekranu, Czcionka, diagram&#10;&#10;Opis wygenerowany automatyczni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D5C2A" w14:textId="50D3FC24" w:rsidR="001C2893" w:rsidRPr="006C3E97" w:rsidRDefault="00646C6B" w:rsidP="00962A4D">
      <w:pPr>
        <w:spacing w:before="240" w:line="276" w:lineRule="auto"/>
        <w:jc w:val="both"/>
        <w:rPr>
          <w:rFonts w:cstheme="minorHAnsi"/>
          <w:b/>
          <w:bCs/>
        </w:rPr>
      </w:pPr>
      <w:r w:rsidRPr="006C3E97">
        <w:rPr>
          <w:rFonts w:cstheme="minorHAnsi"/>
          <w:b/>
          <w:bCs/>
        </w:rPr>
        <w:t>Główne segmenty</w:t>
      </w:r>
    </w:p>
    <w:p w14:paraId="2516ECDF" w14:textId="46970BD6" w:rsidR="00962A4D" w:rsidRDefault="00962A4D" w:rsidP="00962A4D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>Od lat niezmienna pozostaje struktura finansowania aktywów przez firmy leasingowe</w:t>
      </w:r>
      <w:r w:rsidR="00CD267F" w:rsidRPr="009F077B">
        <w:rPr>
          <w:rFonts w:cstheme="minorHAnsi"/>
          <w:sz w:val="20"/>
          <w:szCs w:val="20"/>
        </w:rPr>
        <w:t xml:space="preserve"> (łącznie leasing i pożyczk</w:t>
      </w:r>
      <w:r w:rsidR="00651AA9">
        <w:rPr>
          <w:rFonts w:cstheme="minorHAnsi"/>
          <w:sz w:val="20"/>
          <w:szCs w:val="20"/>
        </w:rPr>
        <w:t>a leasingowa</w:t>
      </w:r>
      <w:r w:rsidR="00CD267F" w:rsidRPr="009F077B">
        <w:rPr>
          <w:rFonts w:cstheme="minorHAnsi"/>
          <w:sz w:val="20"/>
          <w:szCs w:val="20"/>
        </w:rPr>
        <w:t>)</w:t>
      </w:r>
      <w:r w:rsidRPr="009F077B">
        <w:rPr>
          <w:rFonts w:cstheme="minorHAnsi"/>
          <w:sz w:val="20"/>
          <w:szCs w:val="20"/>
        </w:rPr>
        <w:t>. Największą część stanowią pojazdy</w:t>
      </w:r>
      <w:r w:rsidR="00430485">
        <w:rPr>
          <w:rFonts w:cstheme="minorHAnsi"/>
          <w:sz w:val="20"/>
          <w:szCs w:val="20"/>
        </w:rPr>
        <w:t xml:space="preserve"> osobowe i ciężarowe</w:t>
      </w:r>
      <w:r w:rsidRPr="009F077B">
        <w:rPr>
          <w:rFonts w:cstheme="minorHAnsi"/>
          <w:sz w:val="20"/>
          <w:szCs w:val="20"/>
        </w:rPr>
        <w:t xml:space="preserve"> </w:t>
      </w:r>
      <w:r w:rsidR="00CE3200" w:rsidRPr="009F077B">
        <w:rPr>
          <w:rFonts w:cstheme="minorHAnsi"/>
          <w:sz w:val="20"/>
          <w:szCs w:val="20"/>
        </w:rPr>
        <w:t>–</w:t>
      </w:r>
      <w:r w:rsidRPr="009F077B">
        <w:rPr>
          <w:rFonts w:cstheme="minorHAnsi"/>
          <w:sz w:val="20"/>
          <w:szCs w:val="20"/>
        </w:rPr>
        <w:t xml:space="preserve"> 7</w:t>
      </w:r>
      <w:r w:rsidR="00CE3200" w:rsidRPr="009F077B">
        <w:rPr>
          <w:rFonts w:cstheme="minorHAnsi"/>
          <w:sz w:val="20"/>
          <w:szCs w:val="20"/>
        </w:rPr>
        <w:t>1,</w:t>
      </w:r>
      <w:r w:rsidR="00430485">
        <w:rPr>
          <w:rFonts w:cstheme="minorHAnsi"/>
          <w:sz w:val="20"/>
          <w:szCs w:val="20"/>
        </w:rPr>
        <w:t>8</w:t>
      </w:r>
      <w:r w:rsidR="00CE3200" w:rsidRPr="009F077B">
        <w:rPr>
          <w:rFonts w:cstheme="minorHAnsi"/>
          <w:sz w:val="20"/>
          <w:szCs w:val="20"/>
        </w:rPr>
        <w:t xml:space="preserve"> </w:t>
      </w:r>
      <w:r w:rsidRPr="009F077B">
        <w:rPr>
          <w:rFonts w:cstheme="minorHAnsi"/>
          <w:sz w:val="20"/>
          <w:szCs w:val="20"/>
        </w:rPr>
        <w:t xml:space="preserve">proc., a następnie maszyny i urządzenia </w:t>
      </w:r>
      <w:r w:rsidR="00CE3200" w:rsidRPr="009F077B">
        <w:rPr>
          <w:rFonts w:cstheme="minorHAnsi"/>
          <w:sz w:val="20"/>
          <w:szCs w:val="20"/>
        </w:rPr>
        <w:t>–</w:t>
      </w:r>
      <w:r w:rsidRPr="009F077B">
        <w:rPr>
          <w:rFonts w:cstheme="minorHAnsi"/>
          <w:sz w:val="20"/>
          <w:szCs w:val="20"/>
        </w:rPr>
        <w:t xml:space="preserve"> 23</w:t>
      </w:r>
      <w:r w:rsidR="00CE3200" w:rsidRPr="009F077B">
        <w:rPr>
          <w:rFonts w:cstheme="minorHAnsi"/>
          <w:sz w:val="20"/>
          <w:szCs w:val="20"/>
        </w:rPr>
        <w:t>,7</w:t>
      </w:r>
      <w:r w:rsidRPr="009F077B">
        <w:rPr>
          <w:rFonts w:cstheme="minorHAnsi"/>
          <w:sz w:val="20"/>
          <w:szCs w:val="20"/>
        </w:rPr>
        <w:t xml:space="preserve"> proc., inne transakcje razem z nieruchomościami to 4</w:t>
      </w:r>
      <w:r w:rsidR="005D242C" w:rsidRPr="009F077B">
        <w:rPr>
          <w:rFonts w:cstheme="minorHAnsi"/>
          <w:sz w:val="20"/>
          <w:szCs w:val="20"/>
        </w:rPr>
        <w:t>,5</w:t>
      </w:r>
      <w:r w:rsidRPr="009F077B">
        <w:rPr>
          <w:rFonts w:cstheme="minorHAnsi"/>
          <w:sz w:val="20"/>
          <w:szCs w:val="20"/>
        </w:rPr>
        <w:t xml:space="preserve"> proc. w tej strukturze.</w:t>
      </w:r>
    </w:p>
    <w:p w14:paraId="5AFC56A9" w14:textId="07A75554" w:rsidR="008D6FBD" w:rsidRPr="009F077B" w:rsidRDefault="008D6FBD" w:rsidP="00962A4D">
      <w:pPr>
        <w:spacing w:before="24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lastRenderedPageBreak/>
        <w:drawing>
          <wp:inline distT="0" distB="0" distL="0" distR="0" wp14:anchorId="39811EC7" wp14:editId="1C1E41E1">
            <wp:extent cx="5759450" cy="3551555"/>
            <wp:effectExtent l="0" t="0" r="0" b="0"/>
            <wp:docPr id="687965387" name="Obraz 3" descr="Obraz zawierający tekst, zrzut ekranu, Czcionka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965387" name="Obraz 3" descr="Obraz zawierający tekst, zrzut ekranu, Czcionka, diagram&#10;&#10;Opis wygenerowany automatyczni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9EEC9" w14:textId="77777777" w:rsidR="00962A4D" w:rsidRPr="009F077B" w:rsidRDefault="00962A4D" w:rsidP="00962A4D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>Finansowanie w podziale na aktywa:</w:t>
      </w:r>
    </w:p>
    <w:p w14:paraId="564A803E" w14:textId="1F29CD9A" w:rsidR="00962A4D" w:rsidRPr="009F077B" w:rsidRDefault="00962A4D" w:rsidP="00962A4D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b/>
          <w:bCs/>
          <w:sz w:val="20"/>
          <w:szCs w:val="20"/>
        </w:rPr>
        <w:t xml:space="preserve">Pojazdy </w:t>
      </w:r>
      <w:r w:rsidRPr="009F077B">
        <w:rPr>
          <w:rFonts w:cstheme="minorHAnsi"/>
          <w:sz w:val="20"/>
          <w:szCs w:val="20"/>
        </w:rPr>
        <w:t xml:space="preserve">– </w:t>
      </w:r>
      <w:r w:rsidR="00690163" w:rsidRPr="009F077B">
        <w:rPr>
          <w:rFonts w:cstheme="minorHAnsi"/>
          <w:sz w:val="20"/>
          <w:szCs w:val="20"/>
        </w:rPr>
        <w:t>80,2</w:t>
      </w:r>
      <w:r w:rsidRPr="009F077B">
        <w:rPr>
          <w:rFonts w:cstheme="minorHAnsi"/>
          <w:sz w:val="20"/>
          <w:szCs w:val="20"/>
        </w:rPr>
        <w:t xml:space="preserve"> mld zł (wzrost o </w:t>
      </w:r>
      <w:r w:rsidR="00690163" w:rsidRPr="009F077B">
        <w:rPr>
          <w:rFonts w:cstheme="minorHAnsi"/>
          <w:sz w:val="20"/>
          <w:szCs w:val="20"/>
        </w:rPr>
        <w:t>12,7</w:t>
      </w:r>
      <w:r w:rsidRPr="009F077B">
        <w:rPr>
          <w:rFonts w:cstheme="minorHAnsi"/>
          <w:sz w:val="20"/>
          <w:szCs w:val="20"/>
        </w:rPr>
        <w:t xml:space="preserve"> proc.)</w:t>
      </w:r>
      <w:r w:rsidR="00E105C4">
        <w:rPr>
          <w:rFonts w:cstheme="minorHAnsi"/>
          <w:sz w:val="20"/>
          <w:szCs w:val="20"/>
        </w:rPr>
        <w:t>, w tym m.in.</w:t>
      </w:r>
    </w:p>
    <w:p w14:paraId="0326A1AB" w14:textId="2D03053D" w:rsidR="00962A4D" w:rsidRPr="009F077B" w:rsidRDefault="00962A4D" w:rsidP="00962A4D">
      <w:pPr>
        <w:numPr>
          <w:ilvl w:val="0"/>
          <w:numId w:val="7"/>
        </w:numPr>
        <w:spacing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 xml:space="preserve">pojazdy lekkie – </w:t>
      </w:r>
      <w:r w:rsidR="009A1C4A" w:rsidRPr="009F077B">
        <w:rPr>
          <w:rFonts w:cstheme="minorHAnsi"/>
          <w:sz w:val="20"/>
          <w:szCs w:val="20"/>
        </w:rPr>
        <w:t>60,4</w:t>
      </w:r>
      <w:r w:rsidRPr="009F077B">
        <w:rPr>
          <w:rFonts w:cstheme="minorHAnsi"/>
          <w:sz w:val="20"/>
          <w:szCs w:val="20"/>
        </w:rPr>
        <w:t xml:space="preserve"> mld zł (wzrost o </w:t>
      </w:r>
      <w:r w:rsidR="0065662B" w:rsidRPr="009F077B">
        <w:rPr>
          <w:rFonts w:cstheme="minorHAnsi"/>
          <w:sz w:val="20"/>
          <w:szCs w:val="20"/>
        </w:rPr>
        <w:t>25</w:t>
      </w:r>
      <w:r w:rsidRPr="009F077B">
        <w:rPr>
          <w:rFonts w:cstheme="minorHAnsi"/>
          <w:sz w:val="20"/>
          <w:szCs w:val="20"/>
        </w:rPr>
        <w:t xml:space="preserve"> proc.)</w:t>
      </w:r>
    </w:p>
    <w:p w14:paraId="7C14DA1C" w14:textId="543795EF" w:rsidR="00962A4D" w:rsidRDefault="00962A4D" w:rsidP="00962A4D">
      <w:pPr>
        <w:numPr>
          <w:ilvl w:val="0"/>
          <w:numId w:val="7"/>
        </w:numPr>
        <w:spacing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 xml:space="preserve">pojazdy ciężkie – </w:t>
      </w:r>
      <w:r w:rsidR="00461B13" w:rsidRPr="009F077B">
        <w:rPr>
          <w:rFonts w:cstheme="minorHAnsi"/>
          <w:sz w:val="20"/>
          <w:szCs w:val="20"/>
        </w:rPr>
        <w:t>18,8</w:t>
      </w:r>
      <w:r w:rsidRPr="009F077B">
        <w:rPr>
          <w:rFonts w:cstheme="minorHAnsi"/>
          <w:sz w:val="20"/>
          <w:szCs w:val="20"/>
        </w:rPr>
        <w:t xml:space="preserve"> mld zł (spadek o 14 proc.)</w:t>
      </w:r>
    </w:p>
    <w:p w14:paraId="4DF403DE" w14:textId="187D6E3D" w:rsidR="00060AAA" w:rsidRPr="009F077B" w:rsidRDefault="00060AAA" w:rsidP="00962A4D">
      <w:pPr>
        <w:numPr>
          <w:ilvl w:val="0"/>
          <w:numId w:val="7"/>
        </w:num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inne </w:t>
      </w:r>
      <w:r w:rsidR="00E105C4">
        <w:rPr>
          <w:rFonts w:cstheme="minorHAnsi"/>
          <w:sz w:val="20"/>
          <w:szCs w:val="20"/>
        </w:rPr>
        <w:t xml:space="preserve">pojazdy </w:t>
      </w:r>
      <w:r w:rsidR="00DE791A">
        <w:rPr>
          <w:rFonts w:cstheme="minorHAnsi"/>
          <w:sz w:val="20"/>
          <w:szCs w:val="20"/>
        </w:rPr>
        <w:t>–</w:t>
      </w:r>
      <w:r>
        <w:rPr>
          <w:rFonts w:cstheme="minorHAnsi"/>
          <w:sz w:val="20"/>
          <w:szCs w:val="20"/>
        </w:rPr>
        <w:t xml:space="preserve"> </w:t>
      </w:r>
      <w:r w:rsidR="00466719">
        <w:rPr>
          <w:rFonts w:cstheme="minorHAnsi"/>
          <w:sz w:val="20"/>
          <w:szCs w:val="20"/>
        </w:rPr>
        <w:t xml:space="preserve">1 </w:t>
      </w:r>
      <w:r w:rsidR="00DE791A">
        <w:rPr>
          <w:rFonts w:cstheme="minorHAnsi"/>
          <w:sz w:val="20"/>
          <w:szCs w:val="20"/>
        </w:rPr>
        <w:t>mld zł</w:t>
      </w:r>
      <w:r w:rsidR="005F7BAE">
        <w:rPr>
          <w:rFonts w:cstheme="minorHAnsi"/>
          <w:sz w:val="20"/>
          <w:szCs w:val="20"/>
        </w:rPr>
        <w:t xml:space="preserve"> (wzrost </w:t>
      </w:r>
      <w:r w:rsidR="004E3ADB">
        <w:rPr>
          <w:rFonts w:cstheme="minorHAnsi"/>
          <w:sz w:val="20"/>
          <w:szCs w:val="20"/>
        </w:rPr>
        <w:t xml:space="preserve">o </w:t>
      </w:r>
      <w:r w:rsidR="005F7BAE">
        <w:rPr>
          <w:rFonts w:cstheme="minorHAnsi"/>
          <w:sz w:val="20"/>
          <w:szCs w:val="20"/>
        </w:rPr>
        <w:t>15 proc.)</w:t>
      </w:r>
    </w:p>
    <w:p w14:paraId="47005ED5" w14:textId="272958AC" w:rsidR="00962A4D" w:rsidRPr="009F077B" w:rsidRDefault="00962A4D" w:rsidP="00962A4D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b/>
          <w:bCs/>
          <w:sz w:val="20"/>
          <w:szCs w:val="20"/>
        </w:rPr>
        <w:t>Maszyny i urządzenia</w:t>
      </w:r>
      <w:r w:rsidRPr="009F077B">
        <w:rPr>
          <w:rFonts w:cstheme="minorHAnsi"/>
          <w:sz w:val="20"/>
          <w:szCs w:val="20"/>
        </w:rPr>
        <w:t xml:space="preserve"> – </w:t>
      </w:r>
      <w:r w:rsidR="00461B13" w:rsidRPr="009F077B">
        <w:rPr>
          <w:rFonts w:cstheme="minorHAnsi"/>
          <w:sz w:val="20"/>
          <w:szCs w:val="20"/>
        </w:rPr>
        <w:t>26,2</w:t>
      </w:r>
      <w:r w:rsidRPr="009F077B">
        <w:rPr>
          <w:rFonts w:cstheme="minorHAnsi"/>
          <w:sz w:val="20"/>
          <w:szCs w:val="20"/>
        </w:rPr>
        <w:t xml:space="preserve"> mld zł (wzrost o 5 proc.)</w:t>
      </w:r>
    </w:p>
    <w:p w14:paraId="7442E91E" w14:textId="675AF2FC" w:rsidR="00962A4D" w:rsidRPr="009F077B" w:rsidRDefault="00962A4D" w:rsidP="00962A4D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b/>
          <w:bCs/>
          <w:sz w:val="20"/>
          <w:szCs w:val="20"/>
        </w:rPr>
        <w:t>Pozostałe ruchomości</w:t>
      </w:r>
      <w:r w:rsidRPr="009F077B">
        <w:rPr>
          <w:rFonts w:cstheme="minorHAnsi"/>
          <w:sz w:val="20"/>
          <w:szCs w:val="20"/>
        </w:rPr>
        <w:t xml:space="preserve"> – </w:t>
      </w:r>
      <w:r w:rsidR="001150F9" w:rsidRPr="009F077B">
        <w:rPr>
          <w:rFonts w:cstheme="minorHAnsi"/>
          <w:sz w:val="20"/>
          <w:szCs w:val="20"/>
        </w:rPr>
        <w:t>4,5</w:t>
      </w:r>
      <w:r w:rsidRPr="009F077B">
        <w:rPr>
          <w:rFonts w:cstheme="minorHAnsi"/>
          <w:sz w:val="20"/>
          <w:szCs w:val="20"/>
        </w:rPr>
        <w:t xml:space="preserve"> mld zł (wzrost o </w:t>
      </w:r>
      <w:r w:rsidR="001150F9" w:rsidRPr="009F077B">
        <w:rPr>
          <w:rFonts w:cstheme="minorHAnsi"/>
          <w:sz w:val="20"/>
          <w:szCs w:val="20"/>
        </w:rPr>
        <w:t>11</w:t>
      </w:r>
      <w:r w:rsidRPr="009F077B">
        <w:rPr>
          <w:rFonts w:cstheme="minorHAnsi"/>
          <w:sz w:val="20"/>
          <w:szCs w:val="20"/>
        </w:rPr>
        <w:t xml:space="preserve"> proc.)</w:t>
      </w:r>
    </w:p>
    <w:p w14:paraId="22C91C4D" w14:textId="1D007E72" w:rsidR="00646C6B" w:rsidRPr="009F077B" w:rsidRDefault="00962A4D" w:rsidP="00962A4D">
      <w:pPr>
        <w:pStyle w:val="Akapitzlist"/>
        <w:numPr>
          <w:ilvl w:val="0"/>
          <w:numId w:val="6"/>
        </w:numPr>
        <w:spacing w:before="240"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b/>
          <w:bCs/>
          <w:sz w:val="20"/>
          <w:szCs w:val="20"/>
        </w:rPr>
        <w:t>Nieruchomości</w:t>
      </w:r>
      <w:r w:rsidRPr="009F077B">
        <w:rPr>
          <w:rFonts w:cstheme="minorHAnsi"/>
          <w:sz w:val="20"/>
          <w:szCs w:val="20"/>
        </w:rPr>
        <w:t xml:space="preserve"> – 0,</w:t>
      </w:r>
      <w:r w:rsidR="001150F9" w:rsidRPr="009F077B">
        <w:rPr>
          <w:rFonts w:cstheme="minorHAnsi"/>
          <w:sz w:val="20"/>
          <w:szCs w:val="20"/>
        </w:rPr>
        <w:t>51</w:t>
      </w:r>
      <w:r w:rsidRPr="009F077B">
        <w:rPr>
          <w:rFonts w:cstheme="minorHAnsi"/>
          <w:sz w:val="20"/>
          <w:szCs w:val="20"/>
        </w:rPr>
        <w:t xml:space="preserve"> mld zł (</w:t>
      </w:r>
      <w:r w:rsidR="00244973" w:rsidRPr="009F077B">
        <w:rPr>
          <w:rFonts w:cstheme="minorHAnsi"/>
          <w:sz w:val="20"/>
          <w:szCs w:val="20"/>
        </w:rPr>
        <w:t>spadek o 26</w:t>
      </w:r>
      <w:r w:rsidRPr="009F077B">
        <w:rPr>
          <w:rFonts w:cstheme="minorHAnsi"/>
          <w:sz w:val="20"/>
          <w:szCs w:val="20"/>
        </w:rPr>
        <w:t xml:space="preserve"> proc.)</w:t>
      </w:r>
    </w:p>
    <w:p w14:paraId="3DD1814E" w14:textId="0F0D7BA6" w:rsidR="00646C6B" w:rsidRPr="009F077B" w:rsidRDefault="00E05D99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 xml:space="preserve">- </w:t>
      </w:r>
      <w:r w:rsidRPr="009F077B">
        <w:rPr>
          <w:rFonts w:cstheme="minorHAnsi"/>
          <w:i/>
          <w:iCs/>
          <w:sz w:val="20"/>
          <w:szCs w:val="20"/>
        </w:rPr>
        <w:t xml:space="preserve">Finansowanie pojazdów lekkich </w:t>
      </w:r>
      <w:r w:rsidR="007C699F" w:rsidRPr="009F077B">
        <w:rPr>
          <w:rFonts w:cstheme="minorHAnsi"/>
          <w:i/>
          <w:iCs/>
          <w:sz w:val="20"/>
          <w:szCs w:val="20"/>
        </w:rPr>
        <w:t>pozostaje głównym motorem całego rynku leasingu</w:t>
      </w:r>
      <w:r w:rsidR="006C632C" w:rsidRPr="009F077B">
        <w:rPr>
          <w:rFonts w:cstheme="minorHAnsi"/>
          <w:i/>
          <w:iCs/>
          <w:sz w:val="20"/>
          <w:szCs w:val="20"/>
        </w:rPr>
        <w:t xml:space="preserve">. Przez ostatnie dwa lata </w:t>
      </w:r>
      <w:r w:rsidR="004F420F" w:rsidRPr="009F077B">
        <w:rPr>
          <w:rFonts w:cstheme="minorHAnsi"/>
          <w:i/>
          <w:iCs/>
          <w:sz w:val="20"/>
          <w:szCs w:val="20"/>
        </w:rPr>
        <w:t>dynamika finansowania pojazdów lekkich utrzymywała się na wysokim poziomie.</w:t>
      </w:r>
      <w:r w:rsidR="00182F71" w:rsidRPr="009F077B">
        <w:rPr>
          <w:rFonts w:cstheme="minorHAnsi"/>
          <w:i/>
          <w:iCs/>
          <w:sz w:val="20"/>
          <w:szCs w:val="20"/>
        </w:rPr>
        <w:t xml:space="preserve"> Całkiem odmienna sytuacja dotyczyła finansowania pojazdów </w:t>
      </w:r>
      <w:r w:rsidR="00AB2926" w:rsidRPr="009F077B">
        <w:rPr>
          <w:rFonts w:cstheme="minorHAnsi"/>
          <w:i/>
          <w:iCs/>
          <w:sz w:val="20"/>
          <w:szCs w:val="20"/>
        </w:rPr>
        <w:t>ciężkich, które od pięciu już kwartałów jest na wyraźnym minusie</w:t>
      </w:r>
      <w:r w:rsidR="0022388D" w:rsidRPr="009F077B">
        <w:rPr>
          <w:rFonts w:cstheme="minorHAnsi"/>
          <w:i/>
          <w:iCs/>
          <w:sz w:val="20"/>
          <w:szCs w:val="20"/>
        </w:rPr>
        <w:t>. Na słabe wyniki</w:t>
      </w:r>
      <w:r w:rsidR="0016778E" w:rsidRPr="009F077B">
        <w:rPr>
          <w:rFonts w:cstheme="minorHAnsi"/>
          <w:i/>
          <w:iCs/>
          <w:sz w:val="20"/>
          <w:szCs w:val="20"/>
        </w:rPr>
        <w:t xml:space="preserve"> finansowania w tym segmencie wpłynęła trudna sytuacja </w:t>
      </w:r>
      <w:r w:rsidR="00292C1B" w:rsidRPr="009F077B">
        <w:rPr>
          <w:rFonts w:cstheme="minorHAnsi"/>
          <w:i/>
          <w:iCs/>
          <w:sz w:val="20"/>
          <w:szCs w:val="20"/>
        </w:rPr>
        <w:t xml:space="preserve">finansowa firm transportowych. Poza tym nie pomagała </w:t>
      </w:r>
      <w:r w:rsidR="00D91776" w:rsidRPr="009F077B">
        <w:rPr>
          <w:rFonts w:cstheme="minorHAnsi"/>
          <w:i/>
          <w:iCs/>
          <w:sz w:val="20"/>
          <w:szCs w:val="20"/>
        </w:rPr>
        <w:t>recesja w przemyśle w strefie euro i hamujący eksport z Polski</w:t>
      </w:r>
      <w:r w:rsidR="005D552A" w:rsidRPr="009F077B">
        <w:rPr>
          <w:rFonts w:cstheme="minorHAnsi"/>
          <w:i/>
          <w:iCs/>
          <w:sz w:val="20"/>
          <w:szCs w:val="20"/>
        </w:rPr>
        <w:t>. Wydaje się jednak, że najgorsze jest już za nami</w:t>
      </w:r>
      <w:r w:rsidR="0027542A" w:rsidRPr="009F077B">
        <w:rPr>
          <w:rFonts w:cstheme="minorHAnsi"/>
          <w:sz w:val="20"/>
          <w:szCs w:val="20"/>
        </w:rPr>
        <w:t xml:space="preserve"> – mówi </w:t>
      </w:r>
      <w:r w:rsidR="0027542A" w:rsidRPr="009F077B">
        <w:rPr>
          <w:rFonts w:cstheme="minorHAnsi"/>
          <w:b/>
          <w:bCs/>
          <w:sz w:val="20"/>
          <w:szCs w:val="20"/>
        </w:rPr>
        <w:t>Marcin Nieplowicz</w:t>
      </w:r>
      <w:r w:rsidR="0027542A" w:rsidRPr="009F077B">
        <w:rPr>
          <w:rFonts w:cstheme="minorHAnsi"/>
          <w:sz w:val="20"/>
          <w:szCs w:val="20"/>
        </w:rPr>
        <w:t>, główny ekonomista ZPL i EFL.</w:t>
      </w:r>
    </w:p>
    <w:p w14:paraId="33E3DF2F" w14:textId="77777777" w:rsidR="0061396D" w:rsidRPr="009F077B" w:rsidRDefault="0061396D" w:rsidP="00962A4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4E25C8F3" w14:textId="24CED405" w:rsidR="0061396D" w:rsidRPr="009F077B" w:rsidRDefault="0061396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>Udział pojazdów lekkich w strukturze finansowania przez firmy leasingowe wyraźnie się zwiększył z 48,9 proc. w 2023 roku do 54,7 proc. w 2024 roku.</w:t>
      </w:r>
    </w:p>
    <w:p w14:paraId="0D2C2FE7" w14:textId="77777777" w:rsidR="00646C6B" w:rsidRPr="009F077B" w:rsidRDefault="00646C6B" w:rsidP="00962A4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0C5C74F2" w14:textId="7418CAB9" w:rsidR="001D432B" w:rsidRPr="009F077B" w:rsidRDefault="001D432B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 xml:space="preserve">W </w:t>
      </w:r>
      <w:r w:rsidR="006C3E97">
        <w:rPr>
          <w:rFonts w:cstheme="minorHAnsi"/>
          <w:sz w:val="20"/>
          <w:szCs w:val="20"/>
        </w:rPr>
        <w:t>kategorii</w:t>
      </w:r>
      <w:r w:rsidR="00A16F8A" w:rsidRPr="009F077B">
        <w:rPr>
          <w:rFonts w:cstheme="minorHAnsi"/>
          <w:sz w:val="20"/>
          <w:szCs w:val="20"/>
        </w:rPr>
        <w:t xml:space="preserve"> pojazdów ciężkich finansowanie ciągników siodłowych </w:t>
      </w:r>
      <w:r w:rsidR="008F0B37">
        <w:rPr>
          <w:rFonts w:cstheme="minorHAnsi"/>
          <w:sz w:val="20"/>
          <w:szCs w:val="20"/>
        </w:rPr>
        <w:t>obniżyło się</w:t>
      </w:r>
      <w:r w:rsidR="008F0B37" w:rsidRPr="009F077B">
        <w:rPr>
          <w:rFonts w:cstheme="minorHAnsi"/>
          <w:sz w:val="20"/>
          <w:szCs w:val="20"/>
        </w:rPr>
        <w:t xml:space="preserve"> </w:t>
      </w:r>
      <w:r w:rsidR="00A16F8A" w:rsidRPr="009F077B">
        <w:rPr>
          <w:rFonts w:cstheme="minorHAnsi"/>
          <w:sz w:val="20"/>
          <w:szCs w:val="20"/>
        </w:rPr>
        <w:t xml:space="preserve">o ¼, a naczep i przyczep o 22 proc. </w:t>
      </w:r>
      <w:r w:rsidR="000C1967" w:rsidRPr="009F077B">
        <w:rPr>
          <w:rFonts w:cstheme="minorHAnsi"/>
          <w:sz w:val="20"/>
          <w:szCs w:val="20"/>
        </w:rPr>
        <w:t>Wzrosło</w:t>
      </w:r>
      <w:r w:rsidR="0098763F" w:rsidRPr="009F077B">
        <w:rPr>
          <w:rFonts w:cstheme="minorHAnsi"/>
          <w:sz w:val="20"/>
          <w:szCs w:val="20"/>
        </w:rPr>
        <w:t xml:space="preserve"> natomiast</w:t>
      </w:r>
      <w:r w:rsidR="000C1967" w:rsidRPr="009F077B">
        <w:rPr>
          <w:rFonts w:cstheme="minorHAnsi"/>
          <w:sz w:val="20"/>
          <w:szCs w:val="20"/>
        </w:rPr>
        <w:t xml:space="preserve"> finansowanie </w:t>
      </w:r>
      <w:r w:rsidR="005E4120" w:rsidRPr="009F077B">
        <w:rPr>
          <w:rFonts w:cstheme="minorHAnsi"/>
          <w:sz w:val="20"/>
          <w:szCs w:val="20"/>
        </w:rPr>
        <w:t>pojazdów</w:t>
      </w:r>
      <w:r w:rsidR="000C1967" w:rsidRPr="009F077B">
        <w:rPr>
          <w:rFonts w:cstheme="minorHAnsi"/>
          <w:sz w:val="20"/>
          <w:szCs w:val="20"/>
        </w:rPr>
        <w:t xml:space="preserve"> </w:t>
      </w:r>
      <w:r w:rsidR="005E4120" w:rsidRPr="009F077B">
        <w:rPr>
          <w:rFonts w:cstheme="minorHAnsi"/>
          <w:sz w:val="20"/>
          <w:szCs w:val="20"/>
        </w:rPr>
        <w:t>ciężarowych</w:t>
      </w:r>
      <w:r w:rsidR="000C1967" w:rsidRPr="009F077B">
        <w:rPr>
          <w:rFonts w:cstheme="minorHAnsi"/>
          <w:sz w:val="20"/>
          <w:szCs w:val="20"/>
        </w:rPr>
        <w:t xml:space="preserve"> (o</w:t>
      </w:r>
      <w:r w:rsidR="005E4120" w:rsidRPr="009F077B">
        <w:rPr>
          <w:rFonts w:cstheme="minorHAnsi"/>
          <w:sz w:val="20"/>
          <w:szCs w:val="20"/>
        </w:rPr>
        <w:t xml:space="preserve"> </w:t>
      </w:r>
      <w:r w:rsidR="005D1DED" w:rsidRPr="009F077B">
        <w:rPr>
          <w:rFonts w:cstheme="minorHAnsi"/>
          <w:sz w:val="20"/>
          <w:szCs w:val="20"/>
        </w:rPr>
        <w:t>8 proc.) i autobusów aż</w:t>
      </w:r>
      <w:r w:rsidR="003E6DA1" w:rsidRPr="009F077B">
        <w:rPr>
          <w:rFonts w:cstheme="minorHAnsi"/>
          <w:sz w:val="20"/>
          <w:szCs w:val="20"/>
        </w:rPr>
        <w:t xml:space="preserve"> 1,5-krotnie. </w:t>
      </w:r>
    </w:p>
    <w:p w14:paraId="5FF15901" w14:textId="77777777" w:rsidR="00144EE1" w:rsidRPr="009F077B" w:rsidRDefault="00144EE1" w:rsidP="00962A4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578626DF" w14:textId="6C7B5AB3" w:rsidR="00962A4D" w:rsidRPr="009F077B" w:rsidRDefault="009D1180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Z kolei s</w:t>
      </w:r>
      <w:r w:rsidR="00962A4D" w:rsidRPr="009F077B">
        <w:rPr>
          <w:rFonts w:cstheme="minorHAnsi"/>
          <w:sz w:val="20"/>
          <w:szCs w:val="20"/>
        </w:rPr>
        <w:t>egment finansowania maszyn i urządzeń był zdominowany przez maszyny rolnicze oraz sprzęt budowlany</w:t>
      </w:r>
      <w:r w:rsidR="008F0B37">
        <w:rPr>
          <w:rFonts w:cstheme="minorHAnsi"/>
          <w:sz w:val="20"/>
          <w:szCs w:val="20"/>
        </w:rPr>
        <w:t>, s</w:t>
      </w:r>
      <w:r w:rsidR="00962A4D" w:rsidRPr="009F077B">
        <w:rPr>
          <w:rFonts w:cstheme="minorHAnsi"/>
          <w:sz w:val="20"/>
          <w:szCs w:val="20"/>
        </w:rPr>
        <w:t>tanowiły one odpowiednio 23 i 2</w:t>
      </w:r>
      <w:r w:rsidR="00C26061" w:rsidRPr="009F077B">
        <w:rPr>
          <w:rFonts w:cstheme="minorHAnsi"/>
          <w:sz w:val="20"/>
          <w:szCs w:val="20"/>
        </w:rPr>
        <w:t>0</w:t>
      </w:r>
      <w:r w:rsidR="00962A4D" w:rsidRPr="009F077B">
        <w:rPr>
          <w:rFonts w:cstheme="minorHAnsi"/>
          <w:sz w:val="20"/>
          <w:szCs w:val="20"/>
        </w:rPr>
        <w:t xml:space="preserve"> proc.</w:t>
      </w:r>
      <w:r w:rsidR="008F0B37">
        <w:rPr>
          <w:rFonts w:cstheme="minorHAnsi"/>
          <w:sz w:val="20"/>
          <w:szCs w:val="20"/>
        </w:rPr>
        <w:t xml:space="preserve"> rynku.</w:t>
      </w:r>
      <w:r w:rsidR="00962A4D" w:rsidRPr="009F077B">
        <w:rPr>
          <w:rFonts w:cstheme="minorHAnsi"/>
          <w:sz w:val="20"/>
          <w:szCs w:val="20"/>
        </w:rPr>
        <w:t xml:space="preserve"> Jednak o ile wartość finansowania sprzętu budowlanego wzrosła (o </w:t>
      </w:r>
      <w:r w:rsidR="00766A50" w:rsidRPr="009F077B">
        <w:rPr>
          <w:rFonts w:cstheme="minorHAnsi"/>
          <w:sz w:val="20"/>
          <w:szCs w:val="20"/>
        </w:rPr>
        <w:t>22</w:t>
      </w:r>
      <w:r w:rsidR="00962A4D" w:rsidRPr="009F077B">
        <w:rPr>
          <w:rFonts w:cstheme="minorHAnsi"/>
          <w:sz w:val="20"/>
          <w:szCs w:val="20"/>
        </w:rPr>
        <w:t xml:space="preserve"> proc., do </w:t>
      </w:r>
      <w:r w:rsidR="003C3AAE" w:rsidRPr="009F077B">
        <w:rPr>
          <w:rFonts w:cstheme="minorHAnsi"/>
          <w:sz w:val="20"/>
          <w:szCs w:val="20"/>
        </w:rPr>
        <w:t>5,3</w:t>
      </w:r>
      <w:r w:rsidR="00962A4D" w:rsidRPr="009F077B">
        <w:rPr>
          <w:rFonts w:cstheme="minorHAnsi"/>
          <w:sz w:val="20"/>
          <w:szCs w:val="20"/>
        </w:rPr>
        <w:t xml:space="preserve"> mld zł), tak maszyn rolniczych spadła (o </w:t>
      </w:r>
      <w:r w:rsidR="003C3AAE" w:rsidRPr="009F077B">
        <w:rPr>
          <w:rFonts w:cstheme="minorHAnsi"/>
          <w:sz w:val="20"/>
          <w:szCs w:val="20"/>
        </w:rPr>
        <w:t>2</w:t>
      </w:r>
      <w:r w:rsidR="00962A4D" w:rsidRPr="009F077B">
        <w:rPr>
          <w:rFonts w:cstheme="minorHAnsi"/>
          <w:sz w:val="20"/>
          <w:szCs w:val="20"/>
        </w:rPr>
        <w:t xml:space="preserve"> proc., do </w:t>
      </w:r>
      <w:r w:rsidR="003C3AAE" w:rsidRPr="009F077B">
        <w:rPr>
          <w:rFonts w:cstheme="minorHAnsi"/>
          <w:sz w:val="20"/>
          <w:szCs w:val="20"/>
        </w:rPr>
        <w:t>nieco ponad 6</w:t>
      </w:r>
      <w:r w:rsidR="00962A4D" w:rsidRPr="009F077B">
        <w:rPr>
          <w:rFonts w:cstheme="minorHAnsi"/>
          <w:sz w:val="20"/>
          <w:szCs w:val="20"/>
        </w:rPr>
        <w:t xml:space="preserve"> mld zł).</w:t>
      </w:r>
    </w:p>
    <w:p w14:paraId="2EFE120B" w14:textId="77777777" w:rsidR="00D30671" w:rsidRPr="009F077B" w:rsidRDefault="00D30671" w:rsidP="00962A4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5666C28D" w14:textId="4711EC12" w:rsidR="00FD2632" w:rsidRPr="009F077B" w:rsidRDefault="00A03F96" w:rsidP="00157180">
      <w:pPr>
        <w:spacing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 xml:space="preserve"> - </w:t>
      </w:r>
      <w:r w:rsidRPr="009F077B">
        <w:rPr>
          <w:rFonts w:cstheme="minorHAnsi"/>
          <w:i/>
          <w:iCs/>
          <w:sz w:val="20"/>
          <w:szCs w:val="20"/>
        </w:rPr>
        <w:t>W 2024 roku obserwowaliśmy realne odbicie w finansowaniu maszyn, zarówno w ujęciu wartościowym, jak i ilościowym</w:t>
      </w:r>
      <w:r w:rsidR="00157180" w:rsidRPr="009F077B">
        <w:rPr>
          <w:rFonts w:cstheme="minorHAnsi"/>
          <w:sz w:val="20"/>
          <w:szCs w:val="20"/>
        </w:rPr>
        <w:t xml:space="preserve"> – mówi </w:t>
      </w:r>
      <w:r w:rsidR="00157180" w:rsidRPr="009F077B">
        <w:rPr>
          <w:rFonts w:cstheme="minorHAnsi"/>
          <w:b/>
          <w:bCs/>
          <w:sz w:val="20"/>
          <w:szCs w:val="20"/>
        </w:rPr>
        <w:t>Marcin Nieplowicz</w:t>
      </w:r>
      <w:r w:rsidR="00157180" w:rsidRPr="009F077B">
        <w:rPr>
          <w:rFonts w:cstheme="minorHAnsi"/>
          <w:sz w:val="20"/>
          <w:szCs w:val="20"/>
        </w:rPr>
        <w:t>.</w:t>
      </w:r>
    </w:p>
    <w:p w14:paraId="5B44BDFF" w14:textId="77777777" w:rsidR="00157180" w:rsidRDefault="00157180" w:rsidP="00157180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476E0945" w14:textId="429387A4" w:rsidR="008D6FBD" w:rsidRDefault="008D6FBD" w:rsidP="00157180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inline distT="0" distB="0" distL="0" distR="0" wp14:anchorId="30C777BE" wp14:editId="6F476331">
            <wp:extent cx="5759450" cy="3551555"/>
            <wp:effectExtent l="0" t="0" r="0" b="0"/>
            <wp:docPr id="311389164" name="Obraz 4" descr="Obraz zawierający tekst, zrzut ekranu, Czcionka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389164" name="Obraz 4" descr="Obraz zawierający tekst, zrzut ekranu, Czcionka, diagram&#10;&#10;Opis wygenerowany automatyczni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C0234" w14:textId="77777777" w:rsidR="008D6FBD" w:rsidRPr="009F077B" w:rsidRDefault="008D6FBD" w:rsidP="00157180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66AA6AD9" w14:textId="3E2298EB" w:rsidR="008D6FBD" w:rsidRDefault="008D6FBD" w:rsidP="00962A4D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lastRenderedPageBreak/>
        <w:drawing>
          <wp:inline distT="0" distB="0" distL="0" distR="0" wp14:anchorId="50513474" wp14:editId="0C6DFEEB">
            <wp:extent cx="5759450" cy="3551555"/>
            <wp:effectExtent l="0" t="0" r="0" b="0"/>
            <wp:docPr id="2062698390" name="Obraz 5" descr="Obraz zawierający tekst, zrzut ekranu, Czcionka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698390" name="Obraz 5" descr="Obraz zawierający tekst, zrzut ekranu, Czcionka, diagram&#10;&#10;Opis wygenerowany automatyczni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ADC1A" w14:textId="066571D8" w:rsidR="00962A4D" w:rsidRPr="009F077B" w:rsidRDefault="00962A4D" w:rsidP="00962A4D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 xml:space="preserve">Sektor MŚP </w:t>
      </w:r>
      <w:r w:rsidR="00746A59" w:rsidRPr="009F077B">
        <w:rPr>
          <w:rFonts w:cstheme="minorHAnsi"/>
          <w:sz w:val="20"/>
          <w:szCs w:val="20"/>
        </w:rPr>
        <w:t xml:space="preserve">pozostaje </w:t>
      </w:r>
      <w:r w:rsidRPr="009F077B">
        <w:rPr>
          <w:rFonts w:cstheme="minorHAnsi"/>
          <w:sz w:val="20"/>
          <w:szCs w:val="20"/>
        </w:rPr>
        <w:t xml:space="preserve">głównym odbiorcą oferty firm leasingowych (biorąc pod uwagę zarówno leasing, jak i pożyczkę leasingową). Mikro i małe firmy, czyli o obrotach do 20 ml zł, stanowią największą grupę odbiorców produktów leasingowych. Według danych za </w:t>
      </w:r>
      <w:r w:rsidR="00746A59" w:rsidRPr="009F077B">
        <w:rPr>
          <w:rFonts w:cstheme="minorHAnsi"/>
          <w:sz w:val="20"/>
          <w:szCs w:val="20"/>
        </w:rPr>
        <w:t>2024 rok</w:t>
      </w:r>
      <w:r w:rsidRPr="009F077B">
        <w:rPr>
          <w:rFonts w:cstheme="minorHAnsi"/>
          <w:i/>
          <w:iCs/>
          <w:sz w:val="20"/>
          <w:szCs w:val="20"/>
        </w:rPr>
        <w:t xml:space="preserve"> </w:t>
      </w:r>
      <w:r w:rsidRPr="009F077B">
        <w:rPr>
          <w:rFonts w:cstheme="minorHAnsi"/>
          <w:sz w:val="20"/>
          <w:szCs w:val="20"/>
        </w:rPr>
        <w:t xml:space="preserve">mikro firmy (klienci o obrotach do 5 mln zł) stanowiły </w:t>
      </w:r>
      <w:r w:rsidR="007466DD" w:rsidRPr="009F077B">
        <w:rPr>
          <w:rFonts w:cstheme="minorHAnsi"/>
          <w:sz w:val="20"/>
          <w:szCs w:val="20"/>
        </w:rPr>
        <w:t>54,7</w:t>
      </w:r>
      <w:r w:rsidRPr="009F077B">
        <w:rPr>
          <w:rFonts w:cstheme="minorHAnsi"/>
          <w:sz w:val="20"/>
          <w:szCs w:val="20"/>
        </w:rPr>
        <w:t xml:space="preserve"> proc. klientów firm leasingowych. Firmy o obrotach od 5 do 20 mln zł to </w:t>
      </w:r>
      <w:r w:rsidR="007466DD" w:rsidRPr="009F077B">
        <w:rPr>
          <w:rFonts w:cstheme="minorHAnsi"/>
          <w:sz w:val="20"/>
          <w:szCs w:val="20"/>
        </w:rPr>
        <w:t>ponad 18</w:t>
      </w:r>
      <w:r w:rsidRPr="009F077B">
        <w:rPr>
          <w:rFonts w:cstheme="minorHAnsi"/>
          <w:sz w:val="20"/>
          <w:szCs w:val="20"/>
        </w:rPr>
        <w:t xml:space="preserve"> proc. klientów firm leasingowych, a 2</w:t>
      </w:r>
      <w:r w:rsidR="00D30671" w:rsidRPr="009F077B">
        <w:rPr>
          <w:rFonts w:cstheme="minorHAnsi"/>
          <w:sz w:val="20"/>
          <w:szCs w:val="20"/>
        </w:rPr>
        <w:t>5</w:t>
      </w:r>
      <w:r w:rsidRPr="009F077B">
        <w:rPr>
          <w:rFonts w:cstheme="minorHAnsi"/>
          <w:sz w:val="20"/>
          <w:szCs w:val="20"/>
        </w:rPr>
        <w:t xml:space="preserve"> proc. udziału w strukturze klientów firm leasingowych miały firmy o obrotach powyżej 20 mln zł.</w:t>
      </w:r>
      <w:r w:rsidR="00651AA9">
        <w:rPr>
          <w:rFonts w:cstheme="minorHAnsi"/>
          <w:sz w:val="20"/>
          <w:szCs w:val="20"/>
        </w:rPr>
        <w:t xml:space="preserve"> W porównaniu </w:t>
      </w:r>
      <w:r w:rsidR="00623464">
        <w:rPr>
          <w:rFonts w:cstheme="minorHAnsi"/>
          <w:sz w:val="20"/>
          <w:szCs w:val="20"/>
        </w:rPr>
        <w:t>z</w:t>
      </w:r>
      <w:r w:rsidR="00651AA9">
        <w:rPr>
          <w:rFonts w:cstheme="minorHAnsi"/>
          <w:sz w:val="20"/>
          <w:szCs w:val="20"/>
        </w:rPr>
        <w:t xml:space="preserve"> rok</w:t>
      </w:r>
      <w:r w:rsidR="00623464">
        <w:rPr>
          <w:rFonts w:cstheme="minorHAnsi"/>
          <w:sz w:val="20"/>
          <w:szCs w:val="20"/>
        </w:rPr>
        <w:t>iem</w:t>
      </w:r>
      <w:r w:rsidR="00651AA9">
        <w:rPr>
          <w:rFonts w:cstheme="minorHAnsi"/>
          <w:sz w:val="20"/>
          <w:szCs w:val="20"/>
        </w:rPr>
        <w:t xml:space="preserve"> 2023 w portfelu firm leasingowych nastąpił wyraźny wzrost z 49</w:t>
      </w:r>
      <w:r w:rsidR="00623464">
        <w:rPr>
          <w:rFonts w:cstheme="minorHAnsi"/>
          <w:sz w:val="20"/>
          <w:szCs w:val="20"/>
        </w:rPr>
        <w:t xml:space="preserve"> proc.</w:t>
      </w:r>
      <w:r w:rsidR="00651AA9">
        <w:rPr>
          <w:rFonts w:cstheme="minorHAnsi"/>
          <w:sz w:val="20"/>
          <w:szCs w:val="20"/>
        </w:rPr>
        <w:t xml:space="preserve"> do 55</w:t>
      </w:r>
      <w:r w:rsidR="00623464">
        <w:rPr>
          <w:rFonts w:cstheme="minorHAnsi"/>
          <w:sz w:val="20"/>
          <w:szCs w:val="20"/>
        </w:rPr>
        <w:t xml:space="preserve"> proc.</w:t>
      </w:r>
      <w:r w:rsidR="00651AA9">
        <w:rPr>
          <w:rFonts w:cstheme="minorHAnsi"/>
          <w:sz w:val="20"/>
          <w:szCs w:val="20"/>
        </w:rPr>
        <w:t xml:space="preserve"> firm o najniższych obrotach (do 5 mln zł), głównie kosztem największych firm, których udział obniżył się </w:t>
      </w:r>
      <w:r w:rsidR="003949C9">
        <w:rPr>
          <w:rFonts w:cstheme="minorHAnsi"/>
          <w:sz w:val="20"/>
          <w:szCs w:val="20"/>
        </w:rPr>
        <w:t xml:space="preserve">o 4 pkt. proc. </w:t>
      </w:r>
      <w:r w:rsidR="00651AA9">
        <w:rPr>
          <w:rFonts w:cstheme="minorHAnsi"/>
          <w:sz w:val="20"/>
          <w:szCs w:val="20"/>
        </w:rPr>
        <w:t>do 25</w:t>
      </w:r>
      <w:r w:rsidR="00623464">
        <w:rPr>
          <w:rFonts w:cstheme="minorHAnsi"/>
          <w:sz w:val="20"/>
          <w:szCs w:val="20"/>
        </w:rPr>
        <w:t xml:space="preserve"> proc</w:t>
      </w:r>
      <w:r w:rsidR="00651AA9">
        <w:rPr>
          <w:rFonts w:cstheme="minorHAnsi"/>
          <w:sz w:val="20"/>
          <w:szCs w:val="20"/>
        </w:rPr>
        <w:t>.</w:t>
      </w:r>
    </w:p>
    <w:p w14:paraId="30409BA2" w14:textId="3DCCE54D" w:rsidR="00B55308" w:rsidRPr="009F077B" w:rsidRDefault="009F077B" w:rsidP="002A4F17">
      <w:pPr>
        <w:pStyle w:val="Tekstpodstawowy"/>
        <w:spacing w:line="276" w:lineRule="auto"/>
        <w:jc w:val="both"/>
        <w:rPr>
          <w:rFonts w:cstheme="minorHAnsi"/>
          <w:b/>
          <w:bCs/>
          <w:sz w:val="20"/>
          <w:szCs w:val="20"/>
        </w:rPr>
      </w:pPr>
      <w:r w:rsidRPr="009F077B">
        <w:rPr>
          <w:rFonts w:cstheme="minorHAnsi"/>
          <w:b/>
          <w:bCs/>
          <w:sz w:val="20"/>
          <w:szCs w:val="20"/>
        </w:rPr>
        <w:t>Zmiany legislacyjne</w:t>
      </w:r>
    </w:p>
    <w:p w14:paraId="620F1892" w14:textId="4E6A3BA7" w:rsidR="002A4F17" w:rsidRPr="009F077B" w:rsidRDefault="00547D16" w:rsidP="002A4F17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>W 2024 roku</w:t>
      </w:r>
      <w:r w:rsidR="00962A4D" w:rsidRPr="009F077B">
        <w:rPr>
          <w:rFonts w:cstheme="minorHAnsi"/>
          <w:sz w:val="20"/>
          <w:szCs w:val="20"/>
        </w:rPr>
        <w:t xml:space="preserve"> branża leasingowa reprezentowana przez Związek Polskiego Leasingu prowadziła działania, których celem były zmiany </w:t>
      </w:r>
      <w:r w:rsidR="001C02E9" w:rsidRPr="009F077B">
        <w:rPr>
          <w:rFonts w:cstheme="minorHAnsi"/>
          <w:sz w:val="20"/>
          <w:szCs w:val="20"/>
        </w:rPr>
        <w:t>legislacyjne</w:t>
      </w:r>
      <w:r w:rsidR="00962A4D" w:rsidRPr="009F077B">
        <w:rPr>
          <w:rFonts w:cstheme="minorHAnsi"/>
          <w:sz w:val="20"/>
          <w:szCs w:val="20"/>
        </w:rPr>
        <w:t xml:space="preserve">. </w:t>
      </w:r>
      <w:r w:rsidR="002A4F17" w:rsidRPr="009F077B">
        <w:rPr>
          <w:rFonts w:cstheme="minorHAnsi"/>
          <w:sz w:val="20"/>
          <w:szCs w:val="20"/>
        </w:rPr>
        <w:t xml:space="preserve">Początek ubiegłego roku przyniósł starania o przywrócenie możliwości korzystania z finansowania firm leasingowych przez </w:t>
      </w:r>
      <w:r w:rsidR="001C02E9">
        <w:rPr>
          <w:rFonts w:cstheme="minorHAnsi"/>
          <w:sz w:val="20"/>
          <w:szCs w:val="20"/>
        </w:rPr>
        <w:t>przedsiębiorców rolnych</w:t>
      </w:r>
      <w:r w:rsidR="002A4F17" w:rsidRPr="009F077B">
        <w:rPr>
          <w:rFonts w:cstheme="minorHAnsi"/>
          <w:sz w:val="20"/>
          <w:szCs w:val="20"/>
        </w:rPr>
        <w:t>. M.in. dzięki staraniom ZPL w kwietniu weszła w życie nowelizacja, która uchyliła zapis niekorzystany dla rolników.</w:t>
      </w:r>
    </w:p>
    <w:p w14:paraId="31DB0E8E" w14:textId="44A9FFFA" w:rsidR="00E7566B" w:rsidRPr="009F077B" w:rsidRDefault="002A4F17" w:rsidP="002A4F17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 xml:space="preserve">2024 rok to także </w:t>
      </w:r>
      <w:r w:rsidR="00C8407A">
        <w:rPr>
          <w:rFonts w:cstheme="minorHAnsi"/>
          <w:sz w:val="20"/>
          <w:szCs w:val="20"/>
        </w:rPr>
        <w:t>moment</w:t>
      </w:r>
      <w:r w:rsidRPr="009F077B">
        <w:rPr>
          <w:rFonts w:cstheme="minorHAnsi"/>
          <w:sz w:val="20"/>
          <w:szCs w:val="20"/>
        </w:rPr>
        <w:t xml:space="preserve"> przygotowania projektu </w:t>
      </w:r>
      <w:proofErr w:type="spellStart"/>
      <w:r w:rsidRPr="009F077B">
        <w:rPr>
          <w:rFonts w:cstheme="minorHAnsi"/>
          <w:sz w:val="20"/>
          <w:szCs w:val="20"/>
        </w:rPr>
        <w:t>deregulacyjnego</w:t>
      </w:r>
      <w:proofErr w:type="spellEnd"/>
      <w:r w:rsidRPr="009F077B">
        <w:rPr>
          <w:rFonts w:cstheme="minorHAnsi"/>
          <w:sz w:val="20"/>
          <w:szCs w:val="20"/>
        </w:rPr>
        <w:t>, który zakłada wprowadzenie w życie wieloletniego postulatu branży</w:t>
      </w:r>
      <w:r w:rsidR="00212802">
        <w:rPr>
          <w:rFonts w:cstheme="minorHAnsi"/>
          <w:sz w:val="20"/>
          <w:szCs w:val="20"/>
        </w:rPr>
        <w:t xml:space="preserve">, który dotyczy </w:t>
      </w:r>
      <w:r w:rsidRPr="009F077B">
        <w:rPr>
          <w:rFonts w:cstheme="minorHAnsi"/>
          <w:sz w:val="20"/>
          <w:szCs w:val="20"/>
        </w:rPr>
        <w:t xml:space="preserve">zawierania umów leasingu w formie dokumentowej, bez konieczności posiadania podpisu elektronicznego weryfikowanego za pomocą kwalifikowanego certyfikatu. Projektowane zmiany zakładają możliwość zawierania ich w formie dokumentowej, czyli z wykorzystaniem np. </w:t>
      </w:r>
      <w:r w:rsidR="00212802">
        <w:rPr>
          <w:rFonts w:cstheme="minorHAnsi"/>
          <w:sz w:val="20"/>
          <w:szCs w:val="20"/>
        </w:rPr>
        <w:t>SMS czy e-maila</w:t>
      </w:r>
      <w:r w:rsidRPr="009F077B">
        <w:rPr>
          <w:rFonts w:cstheme="minorHAnsi"/>
          <w:sz w:val="20"/>
          <w:szCs w:val="20"/>
        </w:rPr>
        <w:t xml:space="preserve">. </w:t>
      </w:r>
    </w:p>
    <w:p w14:paraId="647AF6CE" w14:textId="71390506" w:rsidR="005B3A4A" w:rsidRPr="005B3A4A" w:rsidRDefault="005B3A4A" w:rsidP="005B3A4A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  <w:r w:rsidRPr="005B3A4A">
        <w:rPr>
          <w:rFonts w:cstheme="minorHAnsi"/>
          <w:sz w:val="20"/>
          <w:szCs w:val="20"/>
        </w:rPr>
        <w:t>- </w:t>
      </w:r>
      <w:r w:rsidRPr="005B3A4A">
        <w:rPr>
          <w:rFonts w:cstheme="minorHAnsi"/>
          <w:i/>
          <w:iCs/>
          <w:sz w:val="20"/>
          <w:szCs w:val="20"/>
        </w:rPr>
        <w:t>Od dłuższego czasu apelujemy o jak najszybsze zakończeniem prac nad tym projektem. Wprowadza on zmian</w:t>
      </w:r>
      <w:r w:rsidR="00212802">
        <w:rPr>
          <w:rFonts w:cstheme="minorHAnsi"/>
          <w:i/>
          <w:iCs/>
          <w:sz w:val="20"/>
          <w:szCs w:val="20"/>
        </w:rPr>
        <w:t>ę</w:t>
      </w:r>
      <w:r w:rsidRPr="005B3A4A">
        <w:rPr>
          <w:rFonts w:cstheme="minorHAnsi"/>
          <w:i/>
          <w:iCs/>
          <w:sz w:val="20"/>
          <w:szCs w:val="20"/>
        </w:rPr>
        <w:t xml:space="preserve"> istotn</w:t>
      </w:r>
      <w:r w:rsidR="00212802">
        <w:rPr>
          <w:rFonts w:cstheme="minorHAnsi"/>
          <w:i/>
          <w:iCs/>
          <w:sz w:val="20"/>
          <w:szCs w:val="20"/>
        </w:rPr>
        <w:t>ą</w:t>
      </w:r>
      <w:r w:rsidRPr="005B3A4A">
        <w:rPr>
          <w:rFonts w:cstheme="minorHAnsi"/>
          <w:i/>
          <w:iCs/>
          <w:sz w:val="20"/>
          <w:szCs w:val="20"/>
        </w:rPr>
        <w:t xml:space="preserve"> dla przedsiębiorców, klientów firm leasingowych. </w:t>
      </w:r>
      <w:r w:rsidR="00212802">
        <w:rPr>
          <w:rFonts w:cstheme="minorHAnsi"/>
          <w:i/>
          <w:iCs/>
          <w:sz w:val="20"/>
          <w:szCs w:val="20"/>
        </w:rPr>
        <w:t>N</w:t>
      </w:r>
      <w:r w:rsidRPr="005B3A4A">
        <w:rPr>
          <w:rFonts w:cstheme="minorHAnsi"/>
          <w:i/>
          <w:iCs/>
          <w:sz w:val="20"/>
          <w:szCs w:val="20"/>
        </w:rPr>
        <w:t xml:space="preserve">iestety obecna wersja projektu nie zawiera już innych ważnych zmian dla naszej branży, które </w:t>
      </w:r>
      <w:r w:rsidR="00651AA9">
        <w:rPr>
          <w:rFonts w:cstheme="minorHAnsi"/>
          <w:i/>
          <w:iCs/>
          <w:sz w:val="20"/>
          <w:szCs w:val="20"/>
        </w:rPr>
        <w:t xml:space="preserve">miały </w:t>
      </w:r>
      <w:r w:rsidRPr="005B3A4A">
        <w:rPr>
          <w:rFonts w:cstheme="minorHAnsi"/>
          <w:i/>
          <w:iCs/>
          <w:sz w:val="20"/>
          <w:szCs w:val="20"/>
        </w:rPr>
        <w:t>usprawni</w:t>
      </w:r>
      <w:r w:rsidR="00651AA9">
        <w:rPr>
          <w:rFonts w:cstheme="minorHAnsi"/>
          <w:i/>
          <w:iCs/>
          <w:sz w:val="20"/>
          <w:szCs w:val="20"/>
        </w:rPr>
        <w:t>ć</w:t>
      </w:r>
      <w:r w:rsidRPr="005B3A4A">
        <w:rPr>
          <w:rFonts w:cstheme="minorHAnsi"/>
          <w:i/>
          <w:iCs/>
          <w:sz w:val="20"/>
          <w:szCs w:val="20"/>
        </w:rPr>
        <w:t xml:space="preserve"> cały proces związany z umową leasingu. Niezrozumiałe i </w:t>
      </w:r>
      <w:r w:rsidRPr="005B3A4A">
        <w:rPr>
          <w:rFonts w:cstheme="minorHAnsi"/>
          <w:i/>
          <w:iCs/>
          <w:sz w:val="20"/>
          <w:szCs w:val="20"/>
        </w:rPr>
        <w:lastRenderedPageBreak/>
        <w:t xml:space="preserve">niepokojące dla nas jest dlaczego </w:t>
      </w:r>
      <w:r w:rsidR="00361E8C">
        <w:rPr>
          <w:rFonts w:cstheme="minorHAnsi"/>
          <w:i/>
          <w:iCs/>
          <w:sz w:val="20"/>
          <w:szCs w:val="20"/>
        </w:rPr>
        <w:t>w ostatniej chwili</w:t>
      </w:r>
      <w:r w:rsidRPr="005B3A4A">
        <w:rPr>
          <w:rFonts w:cstheme="minorHAnsi"/>
          <w:i/>
          <w:iCs/>
          <w:sz w:val="20"/>
          <w:szCs w:val="20"/>
        </w:rPr>
        <w:t xml:space="preserve"> zostały one wykreślone</w:t>
      </w:r>
      <w:r w:rsidRPr="005B3A4A">
        <w:rPr>
          <w:rFonts w:cstheme="minorHAnsi"/>
          <w:sz w:val="20"/>
          <w:szCs w:val="20"/>
        </w:rPr>
        <w:t> – mówi </w:t>
      </w:r>
      <w:r w:rsidRPr="005B3A4A">
        <w:rPr>
          <w:rFonts w:cstheme="minorHAnsi"/>
          <w:b/>
          <w:bCs/>
          <w:sz w:val="20"/>
          <w:szCs w:val="20"/>
        </w:rPr>
        <w:t>Monika Constant</w:t>
      </w:r>
      <w:r w:rsidRPr="005B3A4A">
        <w:rPr>
          <w:rFonts w:cstheme="minorHAnsi"/>
          <w:sz w:val="20"/>
          <w:szCs w:val="20"/>
        </w:rPr>
        <w:t xml:space="preserve">, prezeska </w:t>
      </w:r>
      <w:r w:rsidR="00212802">
        <w:rPr>
          <w:rFonts w:cstheme="minorHAnsi"/>
          <w:sz w:val="20"/>
          <w:szCs w:val="20"/>
        </w:rPr>
        <w:t>ZPL</w:t>
      </w:r>
      <w:r w:rsidRPr="005B3A4A">
        <w:rPr>
          <w:rFonts w:cstheme="minorHAnsi"/>
          <w:sz w:val="20"/>
          <w:szCs w:val="20"/>
        </w:rPr>
        <w:t>.</w:t>
      </w:r>
    </w:p>
    <w:p w14:paraId="00CCC384" w14:textId="2D1B7B55" w:rsidR="00821E0F" w:rsidRPr="00821E0F" w:rsidRDefault="00821E0F" w:rsidP="00821E0F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  <w:r w:rsidRPr="00821E0F">
        <w:rPr>
          <w:rFonts w:cstheme="minorHAnsi"/>
          <w:sz w:val="20"/>
          <w:szCs w:val="20"/>
        </w:rPr>
        <w:t xml:space="preserve">We wcześniejszych wersjach pakietu były zapisy dotyczące wprowadzenia do prawa wekslowego możliwości wystawiania weksla w formie elektronicznej. Poza tym firmy leasingowe, dzięki odpowiedniej zmianie w prawie bankowym, miały uzyskać możliwość </w:t>
      </w:r>
      <w:r w:rsidR="00361E8C">
        <w:rPr>
          <w:rFonts w:cstheme="minorHAnsi"/>
          <w:sz w:val="20"/>
          <w:szCs w:val="20"/>
        </w:rPr>
        <w:t>usprawnienia procesu wersyfikacji</w:t>
      </w:r>
      <w:r w:rsidR="00361E8C" w:rsidRPr="00821E0F">
        <w:rPr>
          <w:rFonts w:cstheme="minorHAnsi"/>
          <w:sz w:val="20"/>
          <w:szCs w:val="20"/>
        </w:rPr>
        <w:t xml:space="preserve"> </w:t>
      </w:r>
      <w:r w:rsidRPr="00821E0F">
        <w:rPr>
          <w:rFonts w:cstheme="minorHAnsi"/>
          <w:sz w:val="20"/>
          <w:szCs w:val="20"/>
        </w:rPr>
        <w:t>zdolności klientów do spłaty zobowiązań, podobnie jak jest w bankach.</w:t>
      </w:r>
    </w:p>
    <w:p w14:paraId="5AA00427" w14:textId="00109618" w:rsidR="00D574EB" w:rsidRPr="00BE2DDF" w:rsidRDefault="002A4F17" w:rsidP="002A4F17">
      <w:pPr>
        <w:pStyle w:val="Tekstpodstawowy"/>
        <w:spacing w:line="276" w:lineRule="auto"/>
        <w:jc w:val="both"/>
        <w:rPr>
          <w:rFonts w:cstheme="minorHAnsi"/>
          <w:i/>
          <w:iCs/>
          <w:sz w:val="20"/>
          <w:szCs w:val="20"/>
        </w:rPr>
      </w:pPr>
      <w:r w:rsidRPr="009F077B">
        <w:rPr>
          <w:rFonts w:cstheme="minorHAnsi"/>
          <w:sz w:val="20"/>
          <w:szCs w:val="20"/>
        </w:rPr>
        <w:t xml:space="preserve">Z ogromnym </w:t>
      </w:r>
      <w:r w:rsidR="00E7566B" w:rsidRPr="009F077B">
        <w:rPr>
          <w:rFonts w:cstheme="minorHAnsi"/>
          <w:sz w:val="20"/>
          <w:szCs w:val="20"/>
        </w:rPr>
        <w:t>rozczarowanie</w:t>
      </w:r>
      <w:r w:rsidRPr="009F077B">
        <w:rPr>
          <w:rFonts w:cstheme="minorHAnsi"/>
          <w:sz w:val="20"/>
          <w:szCs w:val="20"/>
        </w:rPr>
        <w:t xml:space="preserve"> ZPL przyjął także decyzję o nagłym wstrzymaniu programu „Mój elektryk” w sierpniu 2024 roku. Ważną rolę w jego rozwoju od</w:t>
      </w:r>
      <w:r w:rsidR="00674C1C">
        <w:rPr>
          <w:rFonts w:cstheme="minorHAnsi"/>
          <w:sz w:val="20"/>
          <w:szCs w:val="20"/>
        </w:rPr>
        <w:t>egrały</w:t>
      </w:r>
      <w:r w:rsidRPr="009F077B">
        <w:rPr>
          <w:rFonts w:cstheme="minorHAnsi"/>
          <w:sz w:val="20"/>
          <w:szCs w:val="20"/>
        </w:rPr>
        <w:t xml:space="preserve"> firmy leasingowe i wynajmu długookresowego. Prawie 70 proc. łącznej dotacji (960 mln zł) z programu „Mój Elektryk” została wykorzystana przez przedsiębiorców właśnie przez tzw. ścieżkę leasingową. Nowy program dopłat</w:t>
      </w:r>
      <w:r w:rsidR="00821E0F" w:rsidRPr="009F077B">
        <w:rPr>
          <w:rFonts w:cstheme="minorHAnsi"/>
          <w:sz w:val="20"/>
          <w:szCs w:val="20"/>
        </w:rPr>
        <w:t xml:space="preserve"> o zmienionej nazwie </w:t>
      </w:r>
      <w:r w:rsidR="004264AB" w:rsidRPr="009F077B">
        <w:rPr>
          <w:rFonts w:cstheme="minorHAnsi"/>
          <w:sz w:val="20"/>
          <w:szCs w:val="20"/>
        </w:rPr>
        <w:t>„</w:t>
      </w:r>
      <w:proofErr w:type="spellStart"/>
      <w:r w:rsidR="00821E0F" w:rsidRPr="009F077B">
        <w:rPr>
          <w:rFonts w:cstheme="minorHAnsi"/>
          <w:sz w:val="20"/>
          <w:szCs w:val="20"/>
        </w:rPr>
        <w:t>Nas</w:t>
      </w:r>
      <w:r w:rsidR="004264AB" w:rsidRPr="009F077B">
        <w:rPr>
          <w:rFonts w:cstheme="minorHAnsi"/>
          <w:sz w:val="20"/>
          <w:szCs w:val="20"/>
        </w:rPr>
        <w:t>zEauto</w:t>
      </w:r>
      <w:proofErr w:type="spellEnd"/>
      <w:r w:rsidR="004264AB" w:rsidRPr="009F077B">
        <w:rPr>
          <w:rFonts w:cstheme="minorHAnsi"/>
          <w:sz w:val="20"/>
          <w:szCs w:val="20"/>
        </w:rPr>
        <w:t>”</w:t>
      </w:r>
      <w:r w:rsidR="00AF6A59" w:rsidRPr="009F077B">
        <w:rPr>
          <w:rFonts w:cstheme="minorHAnsi"/>
          <w:sz w:val="20"/>
          <w:szCs w:val="20"/>
        </w:rPr>
        <w:t xml:space="preserve">, </w:t>
      </w:r>
      <w:r w:rsidR="00674C1C">
        <w:rPr>
          <w:rFonts w:cstheme="minorHAnsi"/>
          <w:sz w:val="20"/>
          <w:szCs w:val="20"/>
        </w:rPr>
        <w:t xml:space="preserve">który </w:t>
      </w:r>
      <w:r w:rsidRPr="009F077B">
        <w:rPr>
          <w:rFonts w:cstheme="minorHAnsi"/>
          <w:sz w:val="20"/>
          <w:szCs w:val="20"/>
        </w:rPr>
        <w:t>zastąpi</w:t>
      </w:r>
      <w:r w:rsidR="00674C1C">
        <w:rPr>
          <w:rFonts w:cstheme="minorHAnsi"/>
          <w:sz w:val="20"/>
          <w:szCs w:val="20"/>
        </w:rPr>
        <w:t>ł</w:t>
      </w:r>
      <w:r w:rsidRPr="009F077B">
        <w:rPr>
          <w:rFonts w:cstheme="minorHAnsi"/>
          <w:sz w:val="20"/>
          <w:szCs w:val="20"/>
        </w:rPr>
        <w:t xml:space="preserve"> dotychczasowy program „Mój elektryk”</w:t>
      </w:r>
      <w:r w:rsidR="00674C1C">
        <w:rPr>
          <w:rFonts w:cstheme="minorHAnsi"/>
          <w:sz w:val="20"/>
          <w:szCs w:val="20"/>
        </w:rPr>
        <w:t>, choć</w:t>
      </w:r>
      <w:r w:rsidR="00AF6A59" w:rsidRPr="009F077B">
        <w:rPr>
          <w:rFonts w:cstheme="minorHAnsi"/>
          <w:sz w:val="20"/>
          <w:szCs w:val="20"/>
        </w:rPr>
        <w:t xml:space="preserve"> </w:t>
      </w:r>
      <w:r w:rsidR="003E27D4">
        <w:rPr>
          <w:rFonts w:cstheme="minorHAnsi"/>
          <w:sz w:val="20"/>
          <w:szCs w:val="20"/>
        </w:rPr>
        <w:t xml:space="preserve">utrzymuje możliwość finansowania w formie leasingu, </w:t>
      </w:r>
      <w:r w:rsidR="00674C1C">
        <w:rPr>
          <w:rFonts w:cstheme="minorHAnsi"/>
          <w:sz w:val="20"/>
          <w:szCs w:val="20"/>
        </w:rPr>
        <w:t>to</w:t>
      </w:r>
      <w:r w:rsidR="003D27B8">
        <w:rPr>
          <w:rFonts w:cstheme="minorHAnsi"/>
          <w:sz w:val="20"/>
          <w:szCs w:val="20"/>
        </w:rPr>
        <w:t xml:space="preserve"> jednak</w:t>
      </w:r>
      <w:r w:rsidR="003E27D4">
        <w:rPr>
          <w:rFonts w:cstheme="minorHAnsi"/>
          <w:sz w:val="20"/>
          <w:szCs w:val="20"/>
        </w:rPr>
        <w:t xml:space="preserve"> </w:t>
      </w:r>
      <w:r w:rsidR="00AF6A59" w:rsidRPr="009F077B">
        <w:rPr>
          <w:rFonts w:cstheme="minorHAnsi"/>
          <w:sz w:val="20"/>
          <w:szCs w:val="20"/>
        </w:rPr>
        <w:t>w</w:t>
      </w:r>
      <w:r w:rsidRPr="009F077B">
        <w:rPr>
          <w:rFonts w:cstheme="minorHAnsi"/>
          <w:sz w:val="20"/>
          <w:szCs w:val="20"/>
        </w:rPr>
        <w:t>yłącza z dopłat przedsiębiorstwa inne niż jednoosobowa działalność gospodarcza.</w:t>
      </w:r>
      <w:r w:rsidR="00BE2DDF">
        <w:rPr>
          <w:rFonts w:cstheme="minorHAnsi"/>
          <w:i/>
          <w:iCs/>
          <w:sz w:val="20"/>
          <w:szCs w:val="20"/>
        </w:rPr>
        <w:t xml:space="preserve"> </w:t>
      </w:r>
      <w:r w:rsidR="00D574EB" w:rsidRPr="009F077B">
        <w:rPr>
          <w:rFonts w:cstheme="minorHAnsi"/>
          <w:sz w:val="20"/>
          <w:szCs w:val="20"/>
        </w:rPr>
        <w:t>W ocenie</w:t>
      </w:r>
      <w:r w:rsidR="00BE2DDF">
        <w:rPr>
          <w:rFonts w:cstheme="minorHAnsi"/>
          <w:sz w:val="20"/>
          <w:szCs w:val="20"/>
        </w:rPr>
        <w:t xml:space="preserve"> ZPL</w:t>
      </w:r>
      <w:r w:rsidR="00BE2DDF">
        <w:t xml:space="preserve"> </w:t>
      </w:r>
      <w:r w:rsidR="00D574EB" w:rsidRPr="009F077B">
        <w:rPr>
          <w:rFonts w:cstheme="minorHAnsi"/>
          <w:sz w:val="20"/>
          <w:szCs w:val="20"/>
        </w:rPr>
        <w:t xml:space="preserve">ograniczenie, w nowej edycji programu, dostępu do dotacji dla przedsiębiorców innych niż osoby fizyczne doprowadzi do niewykorzystania pieniędzy z programu, co podważa jego cel i ogranicza jego wpływ na rynek </w:t>
      </w:r>
      <w:proofErr w:type="spellStart"/>
      <w:r w:rsidR="00D574EB" w:rsidRPr="009F077B">
        <w:rPr>
          <w:rFonts w:cstheme="minorHAnsi"/>
          <w:sz w:val="20"/>
          <w:szCs w:val="20"/>
        </w:rPr>
        <w:t>elektromobilności</w:t>
      </w:r>
      <w:proofErr w:type="spellEnd"/>
      <w:r w:rsidR="00D574EB" w:rsidRPr="009F077B">
        <w:rPr>
          <w:rFonts w:cstheme="minorHAnsi"/>
          <w:sz w:val="20"/>
          <w:szCs w:val="20"/>
        </w:rPr>
        <w:t>.</w:t>
      </w:r>
    </w:p>
    <w:p w14:paraId="2AE0B1BF" w14:textId="3FF94ED7" w:rsidR="00962A4D" w:rsidRDefault="002A4F17" w:rsidP="00AF6A59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 xml:space="preserve">Od </w:t>
      </w:r>
      <w:r w:rsidR="00AF6A59" w:rsidRPr="009F077B">
        <w:rPr>
          <w:rFonts w:cstheme="minorHAnsi"/>
          <w:sz w:val="20"/>
          <w:szCs w:val="20"/>
        </w:rPr>
        <w:t>2024</w:t>
      </w:r>
      <w:r w:rsidRPr="009F077B">
        <w:rPr>
          <w:rFonts w:cstheme="minorHAnsi"/>
          <w:sz w:val="20"/>
          <w:szCs w:val="20"/>
        </w:rPr>
        <w:t xml:space="preserve"> roku ZPL bierze udział również w pracach nad powstającym projektem ustawy, w której znajdą się zapisy umożliwiające e-rejestrację pojazdów. Jej wprowadzenie oznaczałoby oczekiwaną rewolucję dla wszystkich właścicieli pojazdów, w tym firm leasingowych. Ministerstwo Cyfryzacji zapowiedziało, że </w:t>
      </w:r>
      <w:r w:rsidR="00BE2DDF">
        <w:rPr>
          <w:rFonts w:cstheme="minorHAnsi"/>
          <w:sz w:val="20"/>
          <w:szCs w:val="20"/>
        </w:rPr>
        <w:t>od</w:t>
      </w:r>
      <w:r w:rsidRPr="009F077B">
        <w:rPr>
          <w:rFonts w:cstheme="minorHAnsi"/>
          <w:sz w:val="20"/>
          <w:szCs w:val="20"/>
        </w:rPr>
        <w:t xml:space="preserve"> 2027 roku rejestracja leasingowanych pojazdów odbywać się będzie z wykorzystaniem zdalnych kanałów komunikacji. Warto przy tym podkreślić, że ponad połowa wszystkich nowych pojazdów jest rejestrowania właśnie na firmy leasingowe i wynajmu. Dla branży leasingowej potrzeba rejestrowania pojazdów bez konieczności wizyt w urzędach komunikacji jest więc bardzo istotna.</w:t>
      </w:r>
    </w:p>
    <w:p w14:paraId="1BD4BF14" w14:textId="77777777" w:rsidR="00040A75" w:rsidRPr="009F077B" w:rsidRDefault="00040A75" w:rsidP="00AF6A59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</w:p>
    <w:p w14:paraId="090FB466" w14:textId="77777777" w:rsidR="00962A4D" w:rsidRPr="009F077B" w:rsidRDefault="00962A4D" w:rsidP="00962A4D">
      <w:pPr>
        <w:pStyle w:val="Tekstpodstawowy"/>
        <w:spacing w:after="0" w:line="276" w:lineRule="auto"/>
        <w:jc w:val="both"/>
        <w:rPr>
          <w:rFonts w:cstheme="minorHAnsi"/>
          <w:sz w:val="20"/>
          <w:szCs w:val="20"/>
        </w:rPr>
      </w:pPr>
      <w:r w:rsidRPr="009F077B">
        <w:rPr>
          <w:rFonts w:cstheme="minorHAnsi"/>
          <w:sz w:val="20"/>
          <w:szCs w:val="20"/>
        </w:rPr>
        <w:t xml:space="preserve">Związek Polskiego Leasingu co kwartał prezentuje podsumowanie wyników branży leasingowej. Dane pochodzą ze sprawozdań firm członkowskich ZPL oraz organizacji współpracujących, dzięki temu łącznie z doszacowaniem raporty Związku obejmują 100 proc. polskiego rynku. </w:t>
      </w:r>
    </w:p>
    <w:p w14:paraId="3A884F86" w14:textId="77777777" w:rsidR="00962A4D" w:rsidRDefault="00962A4D" w:rsidP="00962A4D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1A5F9070" w14:textId="77777777" w:rsidR="00962A4D" w:rsidRPr="00B10084" w:rsidRDefault="00962A4D" w:rsidP="00962A4D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5F34DA79" w14:textId="70E96823" w:rsidR="00962A4D" w:rsidRPr="00B10084" w:rsidRDefault="00962A4D" w:rsidP="00962A4D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</w:t>
      </w:r>
      <w:r>
        <w:rPr>
          <w:rFonts w:cstheme="minorHAnsi"/>
          <w:sz w:val="16"/>
          <w:szCs w:val="16"/>
          <w:shd w:val="clear" w:color="auto" w:fill="FFFFFF"/>
        </w:rPr>
        <w:t>4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podmioty obejmujące 90</w:t>
      </w:r>
      <w:r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sektora: 3</w:t>
      </w:r>
      <w:r>
        <w:rPr>
          <w:rFonts w:cstheme="minorHAnsi"/>
          <w:sz w:val="16"/>
          <w:szCs w:val="16"/>
          <w:shd w:val="clear" w:color="auto" w:fill="FFFFFF"/>
        </w:rPr>
        <w:t>3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firm</w:t>
      </w:r>
      <w:r w:rsidR="00040A75">
        <w:rPr>
          <w:rFonts w:cstheme="minorHAnsi"/>
          <w:sz w:val="16"/>
          <w:szCs w:val="16"/>
          <w:shd w:val="clear" w:color="auto" w:fill="FFFFFF"/>
        </w:rPr>
        <w:t>y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leasingow</w:t>
      </w:r>
      <w:r w:rsidR="00040A75">
        <w:rPr>
          <w:rFonts w:cstheme="minorHAnsi"/>
          <w:sz w:val="16"/>
          <w:szCs w:val="16"/>
          <w:shd w:val="clear" w:color="auto" w:fill="FFFFFF"/>
        </w:rPr>
        <w:t>e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oraz Polski Związek Wynajmu i Leasingu Pojazdów. ZPL prowadzi działania wizerunkowe i edukacyjne na rzecz propagowania leasingu jako narzędzia wspierającego rozwój przedsiębiorczości. Do zadań ZPL należy monitorowanie, opiniowanie</w:t>
      </w:r>
      <w:r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>W 2024 roku ZPL obchodzi</w:t>
      </w:r>
      <w:r>
        <w:rPr>
          <w:rFonts w:cstheme="minorHAnsi"/>
          <w:sz w:val="16"/>
          <w:szCs w:val="16"/>
          <w:shd w:val="clear" w:color="auto" w:fill="FFFFFF"/>
        </w:rPr>
        <w:t>ł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30-lecie istnienia. W tym czasie firmy leasingowe przeznaczyły ponad 1 bln zł na inwestycje działających w Polsce przedsiębiorstw. </w:t>
      </w:r>
    </w:p>
    <w:p w14:paraId="09AE403B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CE2DCF7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2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2643DF27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14D4928B" w14:textId="77777777" w:rsidR="00962A4D" w:rsidRPr="00B10084" w:rsidRDefault="00962A4D" w:rsidP="00962A4D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3A069AE4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A70DFB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C97560">
        <w:rPr>
          <w:rFonts w:cstheme="minorHAnsi"/>
          <w:b/>
          <w:sz w:val="20"/>
          <w:szCs w:val="20"/>
          <w:shd w:val="clear" w:color="auto" w:fill="FFFFFF"/>
        </w:rPr>
        <w:t>Kontakt dla mediów:</w:t>
      </w:r>
    </w:p>
    <w:p w14:paraId="4744375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Katarzyna Ostrowska</w:t>
      </w:r>
    </w:p>
    <w:p w14:paraId="1F0CE598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Dyrektorka ds. komunikacji i PR</w:t>
      </w:r>
    </w:p>
    <w:p w14:paraId="4CD0C6E5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  <w:lang w:val="de-DE"/>
        </w:rPr>
      </w:pPr>
      <w:proofErr w:type="spellStart"/>
      <w:r w:rsidRPr="00C97560">
        <w:rPr>
          <w:rFonts w:cstheme="minorHAnsi"/>
          <w:sz w:val="20"/>
          <w:szCs w:val="20"/>
          <w:lang w:val="de-DE"/>
        </w:rPr>
        <w:t>e-mail</w:t>
      </w:r>
      <w:proofErr w:type="spellEnd"/>
      <w:r w:rsidRPr="00C97560">
        <w:rPr>
          <w:rFonts w:cstheme="minorHAnsi"/>
          <w:sz w:val="20"/>
          <w:szCs w:val="20"/>
          <w:lang w:val="de-DE"/>
        </w:rPr>
        <w:t xml:space="preserve">: katarzyna.ostrowska@leasing.org.pl </w:t>
      </w:r>
    </w:p>
    <w:p w14:paraId="006B0E65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lastRenderedPageBreak/>
        <w:t>tel.: (+48) 697 770 498</w:t>
      </w:r>
    </w:p>
    <w:p w14:paraId="2613EBF2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654F5FA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Śledź nas na </w:t>
      </w:r>
    </w:p>
    <w:p w14:paraId="31168777" w14:textId="77777777" w:rsidR="00962A4D" w:rsidRPr="00B10084" w:rsidRDefault="00962A4D" w:rsidP="00962A4D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1B15E1F6" wp14:editId="318A6AB1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3"/>
                    </pic:cNvPr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262BD75A" wp14:editId="7AF1635F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5"/>
                    </pic:cNvPr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7BBF1" w14:textId="77777777" w:rsidR="00962A4D" w:rsidRPr="00B10084" w:rsidRDefault="00962A4D" w:rsidP="00962A4D">
      <w:pPr>
        <w:spacing w:line="276" w:lineRule="auto"/>
        <w:jc w:val="both"/>
        <w:rPr>
          <w:rFonts w:cstheme="minorHAnsi"/>
        </w:rPr>
      </w:pPr>
    </w:p>
    <w:p w14:paraId="36E83B9A" w14:textId="77777777" w:rsidR="000B2597" w:rsidRPr="00771C57" w:rsidRDefault="000B2597" w:rsidP="00771C57"/>
    <w:sectPr w:rsidR="000B2597" w:rsidRPr="00771C57" w:rsidSect="00684E74">
      <w:headerReference w:type="default" r:id="rId17"/>
      <w:footerReference w:type="default" r:id="rId18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42B06" w14:textId="77777777" w:rsidR="00111056" w:rsidRDefault="00111056" w:rsidP="00C64445">
      <w:r>
        <w:separator/>
      </w:r>
    </w:p>
  </w:endnote>
  <w:endnote w:type="continuationSeparator" w:id="0">
    <w:p w14:paraId="6C622E5A" w14:textId="77777777" w:rsidR="00111056" w:rsidRDefault="00111056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D488B" w14:textId="77777777" w:rsidR="00111056" w:rsidRDefault="00111056" w:rsidP="00C64445">
      <w:r>
        <w:separator/>
      </w:r>
    </w:p>
  </w:footnote>
  <w:footnote w:type="continuationSeparator" w:id="0">
    <w:p w14:paraId="32B8EA2D" w14:textId="77777777" w:rsidR="00111056" w:rsidRDefault="00111056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D6382"/>
    <w:multiLevelType w:val="hybridMultilevel"/>
    <w:tmpl w:val="7ECAB0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5205604">
    <w:abstractNumId w:val="1"/>
  </w:num>
  <w:num w:numId="2" w16cid:durableId="9146334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5"/>
  </w:num>
  <w:num w:numId="4" w16cid:durableId="663321470">
    <w:abstractNumId w:val="6"/>
  </w:num>
  <w:num w:numId="5" w16cid:durableId="162018194">
    <w:abstractNumId w:val="2"/>
  </w:num>
  <w:num w:numId="6" w16cid:durableId="64644634">
    <w:abstractNumId w:val="3"/>
  </w:num>
  <w:num w:numId="7" w16cid:durableId="20279070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765A"/>
    <w:rsid w:val="0002000A"/>
    <w:rsid w:val="0002341D"/>
    <w:rsid w:val="00026258"/>
    <w:rsid w:val="000270DE"/>
    <w:rsid w:val="00040A75"/>
    <w:rsid w:val="0005239B"/>
    <w:rsid w:val="00060AAA"/>
    <w:rsid w:val="00070A65"/>
    <w:rsid w:val="00074185"/>
    <w:rsid w:val="00075D79"/>
    <w:rsid w:val="0008695F"/>
    <w:rsid w:val="00087C5A"/>
    <w:rsid w:val="00091456"/>
    <w:rsid w:val="000A145A"/>
    <w:rsid w:val="000B2597"/>
    <w:rsid w:val="000B42C8"/>
    <w:rsid w:val="000B5BB8"/>
    <w:rsid w:val="000C1967"/>
    <w:rsid w:val="000C430A"/>
    <w:rsid w:val="000D734F"/>
    <w:rsid w:val="000E3F2C"/>
    <w:rsid w:val="000E5778"/>
    <w:rsid w:val="000F0265"/>
    <w:rsid w:val="000F1E11"/>
    <w:rsid w:val="00104425"/>
    <w:rsid w:val="001054ED"/>
    <w:rsid w:val="001056CC"/>
    <w:rsid w:val="00111056"/>
    <w:rsid w:val="001150F9"/>
    <w:rsid w:val="00116B72"/>
    <w:rsid w:val="001230CD"/>
    <w:rsid w:val="00124778"/>
    <w:rsid w:val="001253A1"/>
    <w:rsid w:val="00127BEE"/>
    <w:rsid w:val="0014353F"/>
    <w:rsid w:val="00144EE1"/>
    <w:rsid w:val="00145459"/>
    <w:rsid w:val="0015561F"/>
    <w:rsid w:val="00155F5D"/>
    <w:rsid w:val="00157180"/>
    <w:rsid w:val="0016778E"/>
    <w:rsid w:val="00173204"/>
    <w:rsid w:val="00173D00"/>
    <w:rsid w:val="001810B5"/>
    <w:rsid w:val="0018129A"/>
    <w:rsid w:val="00182F71"/>
    <w:rsid w:val="00184F8B"/>
    <w:rsid w:val="001A4918"/>
    <w:rsid w:val="001A6855"/>
    <w:rsid w:val="001A7D3A"/>
    <w:rsid w:val="001B1BD1"/>
    <w:rsid w:val="001C02E9"/>
    <w:rsid w:val="001C2893"/>
    <w:rsid w:val="001D26CA"/>
    <w:rsid w:val="001D432B"/>
    <w:rsid w:val="001D46CD"/>
    <w:rsid w:val="001D6F0C"/>
    <w:rsid w:val="001F41AE"/>
    <w:rsid w:val="002056E9"/>
    <w:rsid w:val="00212802"/>
    <w:rsid w:val="00214B24"/>
    <w:rsid w:val="0022388D"/>
    <w:rsid w:val="0022460D"/>
    <w:rsid w:val="002267A3"/>
    <w:rsid w:val="00232A86"/>
    <w:rsid w:val="00240195"/>
    <w:rsid w:val="00244973"/>
    <w:rsid w:val="002555B6"/>
    <w:rsid w:val="0026034E"/>
    <w:rsid w:val="0026795E"/>
    <w:rsid w:val="0027542A"/>
    <w:rsid w:val="00277A38"/>
    <w:rsid w:val="002850D6"/>
    <w:rsid w:val="00292949"/>
    <w:rsid w:val="00292C1B"/>
    <w:rsid w:val="00295E2E"/>
    <w:rsid w:val="00297079"/>
    <w:rsid w:val="002A12B0"/>
    <w:rsid w:val="002A359B"/>
    <w:rsid w:val="002A4F17"/>
    <w:rsid w:val="002C2302"/>
    <w:rsid w:val="002C7453"/>
    <w:rsid w:val="002D134A"/>
    <w:rsid w:val="002D5E88"/>
    <w:rsid w:val="002E0CDC"/>
    <w:rsid w:val="002E460E"/>
    <w:rsid w:val="002E5331"/>
    <w:rsid w:val="002F15BD"/>
    <w:rsid w:val="002F5B77"/>
    <w:rsid w:val="002F5D61"/>
    <w:rsid w:val="00302FCE"/>
    <w:rsid w:val="00312863"/>
    <w:rsid w:val="00314258"/>
    <w:rsid w:val="00315F53"/>
    <w:rsid w:val="003214C3"/>
    <w:rsid w:val="00324735"/>
    <w:rsid w:val="0032528B"/>
    <w:rsid w:val="003266DF"/>
    <w:rsid w:val="00331675"/>
    <w:rsid w:val="00333A1E"/>
    <w:rsid w:val="00344DAC"/>
    <w:rsid w:val="00346494"/>
    <w:rsid w:val="00351CD6"/>
    <w:rsid w:val="0035563D"/>
    <w:rsid w:val="00361E8C"/>
    <w:rsid w:val="0037098F"/>
    <w:rsid w:val="003724FA"/>
    <w:rsid w:val="00373609"/>
    <w:rsid w:val="00382534"/>
    <w:rsid w:val="003949C9"/>
    <w:rsid w:val="003A40AA"/>
    <w:rsid w:val="003B3761"/>
    <w:rsid w:val="003C1EEB"/>
    <w:rsid w:val="003C3AAE"/>
    <w:rsid w:val="003D27B8"/>
    <w:rsid w:val="003D38C0"/>
    <w:rsid w:val="003D6437"/>
    <w:rsid w:val="003D712E"/>
    <w:rsid w:val="003D7E75"/>
    <w:rsid w:val="003E27D4"/>
    <w:rsid w:val="003E6DA1"/>
    <w:rsid w:val="003E6FCE"/>
    <w:rsid w:val="003F19FE"/>
    <w:rsid w:val="003F578D"/>
    <w:rsid w:val="003F76C1"/>
    <w:rsid w:val="0040246D"/>
    <w:rsid w:val="0040767D"/>
    <w:rsid w:val="0041741F"/>
    <w:rsid w:val="004264AB"/>
    <w:rsid w:val="00430485"/>
    <w:rsid w:val="004354F3"/>
    <w:rsid w:val="00436812"/>
    <w:rsid w:val="00451821"/>
    <w:rsid w:val="00461B13"/>
    <w:rsid w:val="0046442C"/>
    <w:rsid w:val="00466719"/>
    <w:rsid w:val="004729B0"/>
    <w:rsid w:val="00475945"/>
    <w:rsid w:val="0048231F"/>
    <w:rsid w:val="004846DD"/>
    <w:rsid w:val="00484F1D"/>
    <w:rsid w:val="00486FEE"/>
    <w:rsid w:val="004B4417"/>
    <w:rsid w:val="004C0587"/>
    <w:rsid w:val="004C744E"/>
    <w:rsid w:val="004C776E"/>
    <w:rsid w:val="004D0ADF"/>
    <w:rsid w:val="004D1ABE"/>
    <w:rsid w:val="004D3680"/>
    <w:rsid w:val="004E3ADB"/>
    <w:rsid w:val="004E55E8"/>
    <w:rsid w:val="004E5A8F"/>
    <w:rsid w:val="004F420F"/>
    <w:rsid w:val="004F6CF3"/>
    <w:rsid w:val="00507647"/>
    <w:rsid w:val="00510ACB"/>
    <w:rsid w:val="00520C4B"/>
    <w:rsid w:val="00525BA2"/>
    <w:rsid w:val="005360E6"/>
    <w:rsid w:val="00547D16"/>
    <w:rsid w:val="00557BA7"/>
    <w:rsid w:val="00562F1D"/>
    <w:rsid w:val="00566D6D"/>
    <w:rsid w:val="00572D23"/>
    <w:rsid w:val="00573F94"/>
    <w:rsid w:val="00580DCE"/>
    <w:rsid w:val="00582063"/>
    <w:rsid w:val="005A1B28"/>
    <w:rsid w:val="005A7684"/>
    <w:rsid w:val="005B3A4A"/>
    <w:rsid w:val="005B7DCB"/>
    <w:rsid w:val="005C0744"/>
    <w:rsid w:val="005C1291"/>
    <w:rsid w:val="005C5088"/>
    <w:rsid w:val="005D1494"/>
    <w:rsid w:val="005D1DED"/>
    <w:rsid w:val="005D242C"/>
    <w:rsid w:val="005D3DBC"/>
    <w:rsid w:val="005D552A"/>
    <w:rsid w:val="005D79D1"/>
    <w:rsid w:val="005E4120"/>
    <w:rsid w:val="005E4DB0"/>
    <w:rsid w:val="005F3FD4"/>
    <w:rsid w:val="005F7BAE"/>
    <w:rsid w:val="0061396D"/>
    <w:rsid w:val="00623464"/>
    <w:rsid w:val="00625AD9"/>
    <w:rsid w:val="0063277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662B"/>
    <w:rsid w:val="006607CA"/>
    <w:rsid w:val="00660B1F"/>
    <w:rsid w:val="00664F20"/>
    <w:rsid w:val="00673CAB"/>
    <w:rsid w:val="00673F17"/>
    <w:rsid w:val="00674C1C"/>
    <w:rsid w:val="00683AC5"/>
    <w:rsid w:val="00684E74"/>
    <w:rsid w:val="00690163"/>
    <w:rsid w:val="006B0A1B"/>
    <w:rsid w:val="006B1A20"/>
    <w:rsid w:val="006B2D5D"/>
    <w:rsid w:val="006B3997"/>
    <w:rsid w:val="006B5C05"/>
    <w:rsid w:val="006C2AF0"/>
    <w:rsid w:val="006C3E97"/>
    <w:rsid w:val="006C4C6E"/>
    <w:rsid w:val="006C632C"/>
    <w:rsid w:val="006D5D71"/>
    <w:rsid w:val="006E24D2"/>
    <w:rsid w:val="006E5616"/>
    <w:rsid w:val="006F522D"/>
    <w:rsid w:val="006F52A2"/>
    <w:rsid w:val="006F7161"/>
    <w:rsid w:val="00704512"/>
    <w:rsid w:val="007164E4"/>
    <w:rsid w:val="00720711"/>
    <w:rsid w:val="00721B74"/>
    <w:rsid w:val="00724480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F1A"/>
    <w:rsid w:val="00777099"/>
    <w:rsid w:val="00784F4B"/>
    <w:rsid w:val="00792427"/>
    <w:rsid w:val="00793345"/>
    <w:rsid w:val="00795547"/>
    <w:rsid w:val="007A1FBB"/>
    <w:rsid w:val="007A3B2C"/>
    <w:rsid w:val="007A6DED"/>
    <w:rsid w:val="007B66E7"/>
    <w:rsid w:val="007C239D"/>
    <w:rsid w:val="007C5EAB"/>
    <w:rsid w:val="007C699F"/>
    <w:rsid w:val="007C6B07"/>
    <w:rsid w:val="007C6EBB"/>
    <w:rsid w:val="007E4575"/>
    <w:rsid w:val="007F0AD9"/>
    <w:rsid w:val="008031A6"/>
    <w:rsid w:val="008035D8"/>
    <w:rsid w:val="008077F1"/>
    <w:rsid w:val="00821E0F"/>
    <w:rsid w:val="00821E6F"/>
    <w:rsid w:val="0082539A"/>
    <w:rsid w:val="0082600F"/>
    <w:rsid w:val="008301AE"/>
    <w:rsid w:val="00831C99"/>
    <w:rsid w:val="0084396B"/>
    <w:rsid w:val="00852158"/>
    <w:rsid w:val="00855B62"/>
    <w:rsid w:val="00862633"/>
    <w:rsid w:val="008648A3"/>
    <w:rsid w:val="00864E24"/>
    <w:rsid w:val="00886BB3"/>
    <w:rsid w:val="00890AE9"/>
    <w:rsid w:val="00891E89"/>
    <w:rsid w:val="008A1BF1"/>
    <w:rsid w:val="008A3B4B"/>
    <w:rsid w:val="008A5AE1"/>
    <w:rsid w:val="008C542A"/>
    <w:rsid w:val="008C6733"/>
    <w:rsid w:val="008C7422"/>
    <w:rsid w:val="008C7DF1"/>
    <w:rsid w:val="008D16A1"/>
    <w:rsid w:val="008D16E2"/>
    <w:rsid w:val="008D1DB5"/>
    <w:rsid w:val="008D6328"/>
    <w:rsid w:val="008D6873"/>
    <w:rsid w:val="008D6FBD"/>
    <w:rsid w:val="008F0B37"/>
    <w:rsid w:val="008F1EC6"/>
    <w:rsid w:val="008F52B3"/>
    <w:rsid w:val="00901F8C"/>
    <w:rsid w:val="00902941"/>
    <w:rsid w:val="00907545"/>
    <w:rsid w:val="00911849"/>
    <w:rsid w:val="00915107"/>
    <w:rsid w:val="00916687"/>
    <w:rsid w:val="0092672B"/>
    <w:rsid w:val="009456F5"/>
    <w:rsid w:val="00953BBF"/>
    <w:rsid w:val="00955EA8"/>
    <w:rsid w:val="00960903"/>
    <w:rsid w:val="00960D76"/>
    <w:rsid w:val="00962A4D"/>
    <w:rsid w:val="00966734"/>
    <w:rsid w:val="0097187E"/>
    <w:rsid w:val="0098212D"/>
    <w:rsid w:val="0098763F"/>
    <w:rsid w:val="00990B70"/>
    <w:rsid w:val="0099247A"/>
    <w:rsid w:val="009A00D3"/>
    <w:rsid w:val="009A07C7"/>
    <w:rsid w:val="009A1C4A"/>
    <w:rsid w:val="009B11A5"/>
    <w:rsid w:val="009B4E00"/>
    <w:rsid w:val="009B5647"/>
    <w:rsid w:val="009C1CDF"/>
    <w:rsid w:val="009D1180"/>
    <w:rsid w:val="009D1AA5"/>
    <w:rsid w:val="009D25C4"/>
    <w:rsid w:val="009E6937"/>
    <w:rsid w:val="009E7BBF"/>
    <w:rsid w:val="009F077B"/>
    <w:rsid w:val="009F1573"/>
    <w:rsid w:val="009F4F44"/>
    <w:rsid w:val="00A03F96"/>
    <w:rsid w:val="00A16F8A"/>
    <w:rsid w:val="00A17AA1"/>
    <w:rsid w:val="00A21BA5"/>
    <w:rsid w:val="00A2317F"/>
    <w:rsid w:val="00A40891"/>
    <w:rsid w:val="00A40A3F"/>
    <w:rsid w:val="00A43EBA"/>
    <w:rsid w:val="00A54888"/>
    <w:rsid w:val="00A66E77"/>
    <w:rsid w:val="00A67106"/>
    <w:rsid w:val="00A742EE"/>
    <w:rsid w:val="00A8082C"/>
    <w:rsid w:val="00A8100E"/>
    <w:rsid w:val="00A84439"/>
    <w:rsid w:val="00A911FE"/>
    <w:rsid w:val="00A9299F"/>
    <w:rsid w:val="00A95AE3"/>
    <w:rsid w:val="00A95BD9"/>
    <w:rsid w:val="00AA1CB5"/>
    <w:rsid w:val="00AA5602"/>
    <w:rsid w:val="00AB0DA1"/>
    <w:rsid w:val="00AB2926"/>
    <w:rsid w:val="00AB58A6"/>
    <w:rsid w:val="00AB7114"/>
    <w:rsid w:val="00AC0985"/>
    <w:rsid w:val="00AC0DB7"/>
    <w:rsid w:val="00AD09E9"/>
    <w:rsid w:val="00AE0AE8"/>
    <w:rsid w:val="00AE10E4"/>
    <w:rsid w:val="00AE296E"/>
    <w:rsid w:val="00AE3AE6"/>
    <w:rsid w:val="00AF1D33"/>
    <w:rsid w:val="00AF6A59"/>
    <w:rsid w:val="00B013B8"/>
    <w:rsid w:val="00B06C61"/>
    <w:rsid w:val="00B07C82"/>
    <w:rsid w:val="00B10F27"/>
    <w:rsid w:val="00B3219B"/>
    <w:rsid w:val="00B36E4A"/>
    <w:rsid w:val="00B4348A"/>
    <w:rsid w:val="00B540BE"/>
    <w:rsid w:val="00B55308"/>
    <w:rsid w:val="00B55721"/>
    <w:rsid w:val="00B65C8A"/>
    <w:rsid w:val="00B701CB"/>
    <w:rsid w:val="00B7633F"/>
    <w:rsid w:val="00B8653E"/>
    <w:rsid w:val="00BB036F"/>
    <w:rsid w:val="00BB1196"/>
    <w:rsid w:val="00BB5B97"/>
    <w:rsid w:val="00BC1C89"/>
    <w:rsid w:val="00BD5F30"/>
    <w:rsid w:val="00BD5FF1"/>
    <w:rsid w:val="00BE2DDF"/>
    <w:rsid w:val="00BF5B16"/>
    <w:rsid w:val="00C0069B"/>
    <w:rsid w:val="00C022A4"/>
    <w:rsid w:val="00C02CD2"/>
    <w:rsid w:val="00C14F91"/>
    <w:rsid w:val="00C166CE"/>
    <w:rsid w:val="00C210E9"/>
    <w:rsid w:val="00C24415"/>
    <w:rsid w:val="00C26061"/>
    <w:rsid w:val="00C275F6"/>
    <w:rsid w:val="00C44E51"/>
    <w:rsid w:val="00C47213"/>
    <w:rsid w:val="00C531A1"/>
    <w:rsid w:val="00C54BD5"/>
    <w:rsid w:val="00C55791"/>
    <w:rsid w:val="00C5795D"/>
    <w:rsid w:val="00C62411"/>
    <w:rsid w:val="00C62D20"/>
    <w:rsid w:val="00C64445"/>
    <w:rsid w:val="00C6627E"/>
    <w:rsid w:val="00C6777F"/>
    <w:rsid w:val="00C75834"/>
    <w:rsid w:val="00C8407A"/>
    <w:rsid w:val="00C85AE8"/>
    <w:rsid w:val="00C94416"/>
    <w:rsid w:val="00CB36B5"/>
    <w:rsid w:val="00CC0AF8"/>
    <w:rsid w:val="00CD267F"/>
    <w:rsid w:val="00CD71F5"/>
    <w:rsid w:val="00CD778D"/>
    <w:rsid w:val="00CE3200"/>
    <w:rsid w:val="00CE5195"/>
    <w:rsid w:val="00CE5251"/>
    <w:rsid w:val="00CF7028"/>
    <w:rsid w:val="00D026C6"/>
    <w:rsid w:val="00D04DB8"/>
    <w:rsid w:val="00D07004"/>
    <w:rsid w:val="00D30671"/>
    <w:rsid w:val="00D321A0"/>
    <w:rsid w:val="00D330A6"/>
    <w:rsid w:val="00D45001"/>
    <w:rsid w:val="00D45644"/>
    <w:rsid w:val="00D47BA5"/>
    <w:rsid w:val="00D574EB"/>
    <w:rsid w:val="00D61BC8"/>
    <w:rsid w:val="00D63A3C"/>
    <w:rsid w:val="00D6506C"/>
    <w:rsid w:val="00D655FA"/>
    <w:rsid w:val="00D74B9D"/>
    <w:rsid w:val="00D752F3"/>
    <w:rsid w:val="00D82D70"/>
    <w:rsid w:val="00D91776"/>
    <w:rsid w:val="00D91A67"/>
    <w:rsid w:val="00D97F2C"/>
    <w:rsid w:val="00DA490B"/>
    <w:rsid w:val="00DA50D5"/>
    <w:rsid w:val="00DB3348"/>
    <w:rsid w:val="00DC22BC"/>
    <w:rsid w:val="00DD53DF"/>
    <w:rsid w:val="00DE23A1"/>
    <w:rsid w:val="00DE779B"/>
    <w:rsid w:val="00DE791A"/>
    <w:rsid w:val="00DE7E5D"/>
    <w:rsid w:val="00DF04CB"/>
    <w:rsid w:val="00DF4201"/>
    <w:rsid w:val="00E05D99"/>
    <w:rsid w:val="00E105C4"/>
    <w:rsid w:val="00E10BA8"/>
    <w:rsid w:val="00E16F93"/>
    <w:rsid w:val="00E200FB"/>
    <w:rsid w:val="00E23318"/>
    <w:rsid w:val="00E2649F"/>
    <w:rsid w:val="00E3337A"/>
    <w:rsid w:val="00E40B44"/>
    <w:rsid w:val="00E55A19"/>
    <w:rsid w:val="00E56D50"/>
    <w:rsid w:val="00E63AFB"/>
    <w:rsid w:val="00E6407D"/>
    <w:rsid w:val="00E65D9D"/>
    <w:rsid w:val="00E7566B"/>
    <w:rsid w:val="00E76AED"/>
    <w:rsid w:val="00E84818"/>
    <w:rsid w:val="00E94051"/>
    <w:rsid w:val="00E97237"/>
    <w:rsid w:val="00EA7B17"/>
    <w:rsid w:val="00EB0EE6"/>
    <w:rsid w:val="00EB7572"/>
    <w:rsid w:val="00EC2F5F"/>
    <w:rsid w:val="00EC66DE"/>
    <w:rsid w:val="00ED79B6"/>
    <w:rsid w:val="00EE14AF"/>
    <w:rsid w:val="00EF13C4"/>
    <w:rsid w:val="00EF2AC7"/>
    <w:rsid w:val="00EF7B90"/>
    <w:rsid w:val="00F01744"/>
    <w:rsid w:val="00F01DFC"/>
    <w:rsid w:val="00F0229E"/>
    <w:rsid w:val="00F10436"/>
    <w:rsid w:val="00F14FDE"/>
    <w:rsid w:val="00F2323A"/>
    <w:rsid w:val="00F249B1"/>
    <w:rsid w:val="00F3288B"/>
    <w:rsid w:val="00F52B20"/>
    <w:rsid w:val="00F547AE"/>
    <w:rsid w:val="00F54E67"/>
    <w:rsid w:val="00F56A8C"/>
    <w:rsid w:val="00F6002B"/>
    <w:rsid w:val="00F60963"/>
    <w:rsid w:val="00F64BF2"/>
    <w:rsid w:val="00F66E00"/>
    <w:rsid w:val="00F67EED"/>
    <w:rsid w:val="00F70526"/>
    <w:rsid w:val="00F92D56"/>
    <w:rsid w:val="00F94470"/>
    <w:rsid w:val="00F97C0C"/>
    <w:rsid w:val="00FA2042"/>
    <w:rsid w:val="00FB524A"/>
    <w:rsid w:val="00FB560E"/>
    <w:rsid w:val="00FB5D97"/>
    <w:rsid w:val="00FB644E"/>
    <w:rsid w:val="00FC4DBA"/>
    <w:rsid w:val="00FD2632"/>
    <w:rsid w:val="00FD3141"/>
    <w:rsid w:val="00FD6FC4"/>
    <w:rsid w:val="00FE0740"/>
    <w:rsid w:val="00FE07F2"/>
    <w:rsid w:val="00FE40D7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linkedin.com/company/zwiazek-polskiego-leasingu-zpl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easing.org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twitter.com/ZwiazekLeasingu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1497</Words>
  <Characters>8987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28</cp:revision>
  <dcterms:created xsi:type="dcterms:W3CDTF">2025-01-28T18:55:00Z</dcterms:created>
  <dcterms:modified xsi:type="dcterms:W3CDTF">2025-01-29T23:13:00Z</dcterms:modified>
</cp:coreProperties>
</file>