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8676C" w14:textId="77777777" w:rsidR="00133576" w:rsidRPr="00A11DBA" w:rsidRDefault="00133576" w:rsidP="00133576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40F4762C" w14:textId="77777777" w:rsidR="00133576" w:rsidRPr="006411CD" w:rsidRDefault="00133576" w:rsidP="00133576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2663A2">
        <w:rPr>
          <w:rFonts w:cstheme="minorHAnsi"/>
          <w:b/>
          <w:bCs/>
          <w:color w:val="0070C0"/>
          <w:sz w:val="32"/>
          <w:szCs w:val="32"/>
        </w:rPr>
        <w:t>Branża leasingowa w połowie roku: stabilny wzrost</w:t>
      </w:r>
    </w:p>
    <w:p w14:paraId="7D664AF3" w14:textId="77777777" w:rsidR="00133576" w:rsidRDefault="00133576" w:rsidP="00133576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B30718">
        <w:rPr>
          <w:rFonts w:ascii="Calibri" w:hAnsi="Calibri" w:cs="Calibri"/>
          <w:b/>
          <w:bCs/>
          <w:sz w:val="28"/>
          <w:szCs w:val="28"/>
        </w:rPr>
        <w:t>Branża leasingowa rośnie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B30718">
        <w:rPr>
          <w:rFonts w:ascii="Calibri" w:hAnsi="Calibri" w:cs="Calibri"/>
          <w:b/>
          <w:bCs/>
          <w:sz w:val="28"/>
          <w:szCs w:val="28"/>
        </w:rPr>
        <w:t>o 6% w I półroczu 2025 roku</w:t>
      </w:r>
    </w:p>
    <w:p w14:paraId="58564BBB" w14:textId="77777777" w:rsidR="00133576" w:rsidRDefault="00133576" w:rsidP="00133576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F</w:t>
      </w:r>
      <w:r w:rsidRPr="0025147D">
        <w:rPr>
          <w:rFonts w:ascii="Calibri" w:hAnsi="Calibri" w:cs="Calibri"/>
          <w:b/>
          <w:bCs/>
          <w:sz w:val="28"/>
          <w:szCs w:val="28"/>
        </w:rPr>
        <w:t>irmy leasingowe sfinansowały inwestycje o łącznej wartości 56,7 mld zł</w:t>
      </w:r>
    </w:p>
    <w:p w14:paraId="01A41DBA" w14:textId="77777777" w:rsidR="00133576" w:rsidRDefault="00133576" w:rsidP="00133576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54694C">
        <w:rPr>
          <w:rFonts w:ascii="Calibri" w:hAnsi="Calibri" w:cs="Calibri"/>
          <w:b/>
          <w:bCs/>
          <w:sz w:val="28"/>
          <w:szCs w:val="28"/>
        </w:rPr>
        <w:t>Pojazdy osobowe</w:t>
      </w:r>
      <w:r>
        <w:rPr>
          <w:rFonts w:ascii="Calibri" w:hAnsi="Calibri" w:cs="Calibri"/>
          <w:b/>
          <w:bCs/>
          <w:sz w:val="28"/>
          <w:szCs w:val="28"/>
        </w:rPr>
        <w:t xml:space="preserve">, </w:t>
      </w:r>
      <w:r w:rsidRPr="0054694C">
        <w:rPr>
          <w:rFonts w:ascii="Calibri" w:hAnsi="Calibri" w:cs="Calibri"/>
          <w:b/>
          <w:bCs/>
          <w:sz w:val="28"/>
          <w:szCs w:val="28"/>
        </w:rPr>
        <w:t>segment IT</w:t>
      </w:r>
      <w:r>
        <w:rPr>
          <w:rFonts w:ascii="Calibri" w:hAnsi="Calibri" w:cs="Calibri"/>
          <w:b/>
          <w:bCs/>
          <w:sz w:val="28"/>
          <w:szCs w:val="28"/>
        </w:rPr>
        <w:t xml:space="preserve"> oraz transport kolejowy, lotniczy i morski</w:t>
      </w:r>
      <w:r w:rsidRPr="0054694C">
        <w:rPr>
          <w:rFonts w:ascii="Calibri" w:hAnsi="Calibri" w:cs="Calibri"/>
          <w:b/>
          <w:bCs/>
          <w:sz w:val="28"/>
          <w:szCs w:val="28"/>
        </w:rPr>
        <w:t xml:space="preserve"> liderami wzrostu</w:t>
      </w:r>
    </w:p>
    <w:p w14:paraId="1015256A" w14:textId="77777777" w:rsidR="00133576" w:rsidRPr="00152DE2" w:rsidRDefault="00133576" w:rsidP="00133576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152DE2">
        <w:rPr>
          <w:rFonts w:ascii="Calibri" w:hAnsi="Calibri" w:cs="Calibri"/>
          <w:b/>
          <w:bCs/>
          <w:sz w:val="28"/>
          <w:szCs w:val="28"/>
        </w:rPr>
        <w:t>Cyfryzacja i dekarbonizacja – branża leasingowa wchodzi w nową erę</w:t>
      </w:r>
    </w:p>
    <w:p w14:paraId="164919DF" w14:textId="7D398D8E" w:rsidR="00133576" w:rsidRDefault="007F31C2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Warszawa, 7 sierpnia 2025</w:t>
      </w:r>
      <w:r w:rsidR="00DC0DAA">
        <w:rPr>
          <w:rFonts w:cstheme="minorHAnsi"/>
          <w:b/>
          <w:bCs/>
          <w:sz w:val="20"/>
          <w:szCs w:val="20"/>
        </w:rPr>
        <w:t xml:space="preserve"> r.</w:t>
      </w:r>
      <w:r w:rsidR="00F31C6E">
        <w:rPr>
          <w:rFonts w:cstheme="minorHAnsi"/>
          <w:b/>
          <w:bCs/>
          <w:sz w:val="20"/>
          <w:szCs w:val="20"/>
        </w:rPr>
        <w:t xml:space="preserve"> -</w:t>
      </w:r>
      <w:r w:rsidR="00DC0DAA">
        <w:rPr>
          <w:rFonts w:cstheme="minorHAnsi"/>
          <w:b/>
          <w:bCs/>
          <w:sz w:val="20"/>
          <w:szCs w:val="20"/>
        </w:rPr>
        <w:t xml:space="preserve"> </w:t>
      </w:r>
      <w:r w:rsidR="00133576" w:rsidRPr="00EC2E7C">
        <w:rPr>
          <w:rFonts w:cstheme="minorHAnsi"/>
          <w:sz w:val="20"/>
          <w:szCs w:val="20"/>
        </w:rPr>
        <w:t xml:space="preserve">Po umiarkowanym początku </w:t>
      </w:r>
      <w:r w:rsidR="00133576">
        <w:rPr>
          <w:rFonts w:cstheme="minorHAnsi"/>
          <w:sz w:val="20"/>
          <w:szCs w:val="20"/>
        </w:rPr>
        <w:t xml:space="preserve">2025 </w:t>
      </w:r>
      <w:r w:rsidR="00133576" w:rsidRPr="00EC2E7C">
        <w:rPr>
          <w:rFonts w:cstheme="minorHAnsi"/>
          <w:sz w:val="20"/>
          <w:szCs w:val="20"/>
        </w:rPr>
        <w:t xml:space="preserve">roku, </w:t>
      </w:r>
      <w:r w:rsidR="00133576">
        <w:rPr>
          <w:rFonts w:cstheme="minorHAnsi"/>
          <w:sz w:val="20"/>
          <w:szCs w:val="20"/>
        </w:rPr>
        <w:t>II</w:t>
      </w:r>
      <w:r w:rsidR="00133576" w:rsidRPr="00EC2E7C">
        <w:rPr>
          <w:rFonts w:cstheme="minorHAnsi"/>
          <w:sz w:val="20"/>
          <w:szCs w:val="20"/>
        </w:rPr>
        <w:t xml:space="preserve"> kwartał przyniósł znaczące ożywienie na rynku leasingu. Zgodnie z danymi Związku Polskiego Leasingu, w </w:t>
      </w:r>
      <w:r w:rsidR="00133576">
        <w:rPr>
          <w:rFonts w:cstheme="minorHAnsi"/>
          <w:sz w:val="20"/>
          <w:szCs w:val="20"/>
        </w:rPr>
        <w:t>I</w:t>
      </w:r>
      <w:r w:rsidR="00133576" w:rsidRPr="00EC2E7C">
        <w:rPr>
          <w:rFonts w:cstheme="minorHAnsi"/>
          <w:sz w:val="20"/>
          <w:szCs w:val="20"/>
        </w:rPr>
        <w:t xml:space="preserve"> półroczu 2025 r. firmy leasingowe sfinansowały inwestycje o łącznej wartości 56,7 mld zł, co oznacza wzrost o 6%</w:t>
      </w:r>
      <w:r w:rsidR="00133576">
        <w:rPr>
          <w:rFonts w:cstheme="minorHAnsi"/>
          <w:sz w:val="20"/>
          <w:szCs w:val="20"/>
        </w:rPr>
        <w:t xml:space="preserve"> w porównaniu z danymi za I półrocze 2024 roku. W I kwartale wzrost wyniósł 1,3%, a w II kwartale już 9,7%.</w:t>
      </w:r>
    </w:p>
    <w:p w14:paraId="0D722E22" w14:textId="77777777" w:rsidR="00133576" w:rsidRDefault="00133576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</w:t>
      </w:r>
      <w:r w:rsidRPr="00234973">
        <w:rPr>
          <w:rFonts w:cstheme="minorHAnsi"/>
          <w:sz w:val="20"/>
          <w:szCs w:val="20"/>
        </w:rPr>
        <w:t xml:space="preserve">decydowanie szybciej rośnie finansowanie pożyczką udzielaną przez firmy leasingowe. W ciągu sześciu miesięcy 2025 roku </w:t>
      </w:r>
      <w:r>
        <w:rPr>
          <w:rFonts w:cstheme="minorHAnsi"/>
          <w:sz w:val="20"/>
          <w:szCs w:val="20"/>
        </w:rPr>
        <w:t xml:space="preserve">ich </w:t>
      </w:r>
      <w:r w:rsidRPr="00234973">
        <w:rPr>
          <w:rFonts w:cstheme="minorHAnsi"/>
          <w:sz w:val="20"/>
          <w:szCs w:val="20"/>
        </w:rPr>
        <w:t xml:space="preserve">wartość wzrosła aż o 30%, do 8,2 mld zł. Leasing nadal jednak dominuje pod względem wartości </w:t>
      </w:r>
      <w:r>
        <w:rPr>
          <w:rFonts w:cstheme="minorHAnsi"/>
          <w:sz w:val="20"/>
          <w:szCs w:val="20"/>
        </w:rPr>
        <w:t>finansowanego sprzętu</w:t>
      </w:r>
      <w:r w:rsidRPr="00234973">
        <w:rPr>
          <w:rFonts w:cstheme="minorHAnsi"/>
          <w:sz w:val="20"/>
          <w:szCs w:val="20"/>
        </w:rPr>
        <w:t xml:space="preserve"> –</w:t>
      </w:r>
      <w:r>
        <w:rPr>
          <w:rFonts w:cstheme="minorHAnsi"/>
          <w:sz w:val="20"/>
          <w:szCs w:val="20"/>
        </w:rPr>
        <w:t xml:space="preserve"> </w:t>
      </w:r>
      <w:r w:rsidRPr="00234973">
        <w:rPr>
          <w:rFonts w:cstheme="minorHAnsi"/>
          <w:sz w:val="20"/>
          <w:szCs w:val="20"/>
        </w:rPr>
        <w:t>48,5 mld zł</w:t>
      </w:r>
      <w:r>
        <w:rPr>
          <w:rFonts w:cstheme="minorHAnsi"/>
          <w:sz w:val="20"/>
          <w:szCs w:val="20"/>
        </w:rPr>
        <w:t xml:space="preserve"> i </w:t>
      </w:r>
      <w:r w:rsidRPr="00234973">
        <w:rPr>
          <w:rFonts w:cstheme="minorHAnsi"/>
          <w:sz w:val="20"/>
          <w:szCs w:val="20"/>
        </w:rPr>
        <w:t>wzr</w:t>
      </w:r>
      <w:r>
        <w:rPr>
          <w:rFonts w:cstheme="minorHAnsi"/>
          <w:sz w:val="20"/>
          <w:szCs w:val="20"/>
        </w:rPr>
        <w:t>ósł</w:t>
      </w:r>
      <w:r w:rsidRPr="00234973">
        <w:rPr>
          <w:rFonts w:cstheme="minorHAnsi"/>
          <w:sz w:val="20"/>
          <w:szCs w:val="20"/>
        </w:rPr>
        <w:t xml:space="preserve"> o 2,4% r</w:t>
      </w:r>
      <w:r>
        <w:rPr>
          <w:rFonts w:cstheme="minorHAnsi"/>
          <w:sz w:val="20"/>
          <w:szCs w:val="20"/>
        </w:rPr>
        <w:t>ok do roku.</w:t>
      </w:r>
    </w:p>
    <w:p w14:paraId="70608D53" w14:textId="77777777" w:rsidR="00133576" w:rsidRDefault="00133576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C35E0E">
        <w:rPr>
          <w:rFonts w:cstheme="minorHAnsi"/>
          <w:i/>
          <w:iCs/>
          <w:sz w:val="20"/>
          <w:szCs w:val="20"/>
        </w:rPr>
        <w:t>Wyniki pierwszego półrocza pokazują, że branża leasingowa pozostaje odporna i elastyczna, choć działa w warunkach dużej niepewności gospodarczej. Cieszy nas szczególnie silny wzrost w II kwartale – zarówno w leasingu, jak i pożyczce. To pokazuje, że przedsiębiorcy nadal inwestują, choć decyzje podejmowane są ostrożniej i bardziej selektywnie niż jeszcze rok temu</w:t>
      </w:r>
      <w:r>
        <w:rPr>
          <w:rFonts w:cstheme="minorHAnsi"/>
          <w:sz w:val="20"/>
          <w:szCs w:val="20"/>
        </w:rPr>
        <w:t xml:space="preserve"> – mówi </w:t>
      </w:r>
      <w:r w:rsidRPr="00C8275A">
        <w:rPr>
          <w:rFonts w:cstheme="minorHAnsi"/>
          <w:b/>
          <w:bCs/>
          <w:sz w:val="20"/>
          <w:szCs w:val="20"/>
        </w:rPr>
        <w:t>Monika Constant</w:t>
      </w:r>
      <w:r>
        <w:rPr>
          <w:rFonts w:cstheme="minorHAnsi"/>
          <w:sz w:val="20"/>
          <w:szCs w:val="20"/>
        </w:rPr>
        <w:t>, prezeska Związku Polskiego Leasingu.</w:t>
      </w:r>
    </w:p>
    <w:p w14:paraId="431AAFD6" w14:textId="77777777" w:rsidR="00133576" w:rsidRPr="007B657D" w:rsidRDefault="00133576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 w:rsidRPr="00BB1D17">
        <w:rPr>
          <w:rFonts w:cstheme="minorHAnsi"/>
          <w:sz w:val="20"/>
          <w:szCs w:val="20"/>
        </w:rPr>
        <w:t>W związku z niższą od oczekiwanej dynamiką w pierwszym półroczu, Związek Polskiego Leasingu koryguje w dół prognozę dla rynku</w:t>
      </w:r>
      <w:r>
        <w:rPr>
          <w:rFonts w:cstheme="minorHAnsi"/>
          <w:sz w:val="20"/>
          <w:szCs w:val="20"/>
        </w:rPr>
        <w:t xml:space="preserve"> w całym 2025 roku</w:t>
      </w:r>
      <w:r w:rsidRPr="00BB1D17">
        <w:rPr>
          <w:rFonts w:cstheme="minorHAnsi"/>
          <w:sz w:val="20"/>
          <w:szCs w:val="20"/>
        </w:rPr>
        <w:t xml:space="preserve">. Zamiast zakładanych wcześniej 13%, obecnie oczekiwany wzrost całoroczny wynosi </w:t>
      </w:r>
      <w:r>
        <w:rPr>
          <w:rFonts w:cstheme="minorHAnsi"/>
          <w:sz w:val="20"/>
          <w:szCs w:val="20"/>
        </w:rPr>
        <w:t>6</w:t>
      </w:r>
      <w:r w:rsidRPr="00BB1D17">
        <w:rPr>
          <w:rFonts w:cstheme="minorHAnsi"/>
          <w:sz w:val="20"/>
          <w:szCs w:val="20"/>
        </w:rPr>
        <w:t xml:space="preserve">%. </w:t>
      </w:r>
      <w:r w:rsidRPr="00FC1A0F">
        <w:rPr>
          <w:rFonts w:cstheme="minorHAnsi"/>
          <w:sz w:val="20"/>
          <w:szCs w:val="20"/>
        </w:rPr>
        <w:t>Oznacza to, że w całym 2025 roku rynek osiągnie wartość około 11</w:t>
      </w:r>
      <w:r>
        <w:rPr>
          <w:rFonts w:cstheme="minorHAnsi"/>
          <w:sz w:val="20"/>
          <w:szCs w:val="20"/>
        </w:rPr>
        <w:t>6,6</w:t>
      </w:r>
      <w:r w:rsidRPr="00FC1A0F">
        <w:rPr>
          <w:rFonts w:cstheme="minorHAnsi"/>
          <w:sz w:val="20"/>
          <w:szCs w:val="20"/>
        </w:rPr>
        <w:t xml:space="preserve"> mld zł.</w:t>
      </w:r>
    </w:p>
    <w:p w14:paraId="71D87E94" w14:textId="77777777" w:rsidR="00133576" w:rsidRPr="00DF3E1B" w:rsidRDefault="00133576" w:rsidP="00133576">
      <w:pPr>
        <w:spacing w:before="240" w:after="240" w:line="276" w:lineRule="auto"/>
        <w:jc w:val="both"/>
        <w:rPr>
          <w:rFonts w:cstheme="minorHAnsi"/>
          <w:i/>
          <w:iCs/>
          <w:sz w:val="20"/>
          <w:szCs w:val="20"/>
        </w:rPr>
      </w:pPr>
      <w:r w:rsidRPr="007B657D">
        <w:rPr>
          <w:rFonts w:cstheme="minorHAnsi"/>
          <w:sz w:val="20"/>
          <w:szCs w:val="20"/>
        </w:rPr>
        <w:t xml:space="preserve">- </w:t>
      </w:r>
      <w:r w:rsidRPr="007B657D">
        <w:rPr>
          <w:rFonts w:cstheme="minorHAnsi"/>
          <w:i/>
          <w:iCs/>
          <w:sz w:val="20"/>
          <w:szCs w:val="20"/>
        </w:rPr>
        <w:t>P</w:t>
      </w:r>
      <w:r w:rsidRPr="00333E20">
        <w:rPr>
          <w:rFonts w:cstheme="minorHAnsi"/>
          <w:i/>
          <w:iCs/>
          <w:sz w:val="20"/>
          <w:szCs w:val="20"/>
        </w:rPr>
        <w:t xml:space="preserve">rognoza ZPL jest średnią prognoz firm leasingowych. </w:t>
      </w:r>
      <w:r w:rsidRPr="007B657D">
        <w:rPr>
          <w:rFonts w:cstheme="minorHAnsi"/>
          <w:i/>
          <w:iCs/>
          <w:sz w:val="20"/>
          <w:szCs w:val="20"/>
        </w:rPr>
        <w:t>Jeszcze w</w:t>
      </w:r>
      <w:r w:rsidRPr="00333E20">
        <w:rPr>
          <w:rFonts w:cstheme="minorHAnsi"/>
          <w:i/>
          <w:iCs/>
          <w:sz w:val="20"/>
          <w:szCs w:val="20"/>
        </w:rPr>
        <w:t xml:space="preserve"> lutym ta średnia wyniosła 13%,</w:t>
      </w:r>
      <w:r w:rsidRPr="007B657D">
        <w:rPr>
          <w:rFonts w:cstheme="minorHAnsi"/>
          <w:i/>
          <w:iCs/>
          <w:sz w:val="20"/>
          <w:szCs w:val="20"/>
        </w:rPr>
        <w:t xml:space="preserve"> a</w:t>
      </w:r>
      <w:r w:rsidRPr="00333E20">
        <w:rPr>
          <w:rFonts w:cstheme="minorHAnsi"/>
          <w:i/>
          <w:iCs/>
          <w:sz w:val="20"/>
          <w:szCs w:val="20"/>
        </w:rPr>
        <w:t xml:space="preserve"> obecnie</w:t>
      </w:r>
      <w:r w:rsidRPr="007B657D">
        <w:rPr>
          <w:rFonts w:cstheme="minorHAnsi"/>
          <w:i/>
          <w:iCs/>
          <w:sz w:val="20"/>
          <w:szCs w:val="20"/>
        </w:rPr>
        <w:t xml:space="preserve"> jest to już</w:t>
      </w:r>
      <w:r w:rsidRPr="00333E20">
        <w:rPr>
          <w:rFonts w:cstheme="minorHAnsi"/>
          <w:i/>
          <w:iCs/>
          <w:sz w:val="20"/>
          <w:szCs w:val="20"/>
        </w:rPr>
        <w:t xml:space="preserve"> </w:t>
      </w:r>
      <w:r>
        <w:rPr>
          <w:rFonts w:cstheme="minorHAnsi"/>
          <w:i/>
          <w:iCs/>
          <w:sz w:val="20"/>
          <w:szCs w:val="20"/>
        </w:rPr>
        <w:t>6</w:t>
      </w:r>
      <w:r w:rsidRPr="00333E20">
        <w:rPr>
          <w:rFonts w:cstheme="minorHAnsi"/>
          <w:i/>
          <w:iCs/>
          <w:sz w:val="20"/>
          <w:szCs w:val="20"/>
        </w:rPr>
        <w:t xml:space="preserve">%. </w:t>
      </w:r>
      <w:r>
        <w:rPr>
          <w:rFonts w:cstheme="minorHAnsi"/>
          <w:i/>
          <w:iCs/>
          <w:sz w:val="20"/>
          <w:szCs w:val="20"/>
        </w:rPr>
        <w:t>T</w:t>
      </w:r>
      <w:r w:rsidRPr="00DF3E1B">
        <w:rPr>
          <w:rFonts w:cstheme="minorHAnsi"/>
          <w:i/>
          <w:iCs/>
          <w:sz w:val="20"/>
          <w:szCs w:val="20"/>
        </w:rPr>
        <w:t>o, co miało wpływ na korektę prognoz wzrostu branży od lutego, to czynniki niezależne od apetytu polskich przedsiębiorców: przede wszystkim geopolityka i zupełnie nowa, agresywna polityka celna Donalda Trumpa, co wpływa</w:t>
      </w:r>
      <w:r w:rsidRPr="00333E20">
        <w:rPr>
          <w:rFonts w:cstheme="minorHAnsi"/>
          <w:i/>
          <w:iCs/>
          <w:sz w:val="20"/>
          <w:szCs w:val="20"/>
        </w:rPr>
        <w:t xml:space="preserve"> na wzrost niepewności i pogarsza nastroje inwestycyjne firm. W styczniu uczestnicy ankiety </w:t>
      </w:r>
      <w:r w:rsidRPr="007B657D">
        <w:rPr>
          <w:rFonts w:cstheme="minorHAnsi"/>
          <w:i/>
          <w:iCs/>
          <w:sz w:val="20"/>
          <w:szCs w:val="20"/>
        </w:rPr>
        <w:t>zapewne</w:t>
      </w:r>
      <w:r w:rsidRPr="00333E20">
        <w:rPr>
          <w:rFonts w:cstheme="minorHAnsi"/>
          <w:i/>
          <w:iCs/>
          <w:sz w:val="20"/>
          <w:szCs w:val="20"/>
        </w:rPr>
        <w:t xml:space="preserve"> nie zakładali scenariusza wojen handlowych, a mieliśmy</w:t>
      </w:r>
      <w:r w:rsidRPr="007B657D">
        <w:rPr>
          <w:rFonts w:cstheme="minorHAnsi"/>
          <w:i/>
          <w:iCs/>
          <w:sz w:val="20"/>
          <w:szCs w:val="20"/>
        </w:rPr>
        <w:t xml:space="preserve"> z nimi</w:t>
      </w:r>
      <w:r w:rsidRPr="00333E20">
        <w:rPr>
          <w:rFonts w:cstheme="minorHAnsi"/>
          <w:i/>
          <w:iCs/>
          <w:sz w:val="20"/>
          <w:szCs w:val="20"/>
        </w:rPr>
        <w:t xml:space="preserve"> do czynienia.</w:t>
      </w:r>
      <w:r w:rsidRPr="007B657D">
        <w:rPr>
          <w:rFonts w:cstheme="minorHAnsi"/>
          <w:i/>
          <w:iCs/>
          <w:sz w:val="20"/>
          <w:szCs w:val="20"/>
        </w:rPr>
        <w:t xml:space="preserve"> </w:t>
      </w:r>
      <w:r>
        <w:rPr>
          <w:rFonts w:cstheme="minorHAnsi"/>
          <w:i/>
          <w:iCs/>
          <w:sz w:val="20"/>
          <w:szCs w:val="20"/>
        </w:rPr>
        <w:t>D</w:t>
      </w:r>
      <w:r w:rsidRPr="003D5772">
        <w:rPr>
          <w:rFonts w:cstheme="minorHAnsi"/>
          <w:i/>
          <w:iCs/>
          <w:sz w:val="20"/>
          <w:szCs w:val="20"/>
        </w:rPr>
        <w:t>rugim czynnikiem, ograniczającym przyspieszenie w finansowaniu leasingiem jest opóźnienie w przekazywaniu</w:t>
      </w:r>
      <w:r>
        <w:rPr>
          <w:rFonts w:cstheme="minorHAnsi"/>
          <w:i/>
          <w:iCs/>
          <w:sz w:val="20"/>
          <w:szCs w:val="20"/>
        </w:rPr>
        <w:t xml:space="preserve"> </w:t>
      </w:r>
      <w:r w:rsidRPr="007B657D">
        <w:rPr>
          <w:rFonts w:cstheme="minorHAnsi"/>
          <w:i/>
          <w:iCs/>
          <w:sz w:val="20"/>
          <w:szCs w:val="20"/>
        </w:rPr>
        <w:t>pieniędzy</w:t>
      </w:r>
      <w:r w:rsidRPr="00333E20">
        <w:rPr>
          <w:rFonts w:cstheme="minorHAnsi"/>
          <w:i/>
          <w:iCs/>
          <w:sz w:val="20"/>
          <w:szCs w:val="20"/>
        </w:rPr>
        <w:t xml:space="preserve"> do beneficjentów</w:t>
      </w:r>
      <w:r w:rsidRPr="007B657D">
        <w:rPr>
          <w:rFonts w:cstheme="minorHAnsi"/>
          <w:i/>
          <w:iCs/>
          <w:sz w:val="20"/>
          <w:szCs w:val="20"/>
        </w:rPr>
        <w:t xml:space="preserve"> w ramach programu KPO</w:t>
      </w:r>
      <w:r w:rsidRPr="00333E20">
        <w:rPr>
          <w:rFonts w:cstheme="minorHAnsi"/>
          <w:i/>
          <w:iCs/>
          <w:sz w:val="20"/>
          <w:szCs w:val="20"/>
        </w:rPr>
        <w:t xml:space="preserve">, co opóźnia inwestycje infrastrukturalne. Było powszechne oczekiwanie, że </w:t>
      </w:r>
      <w:r w:rsidRPr="007B657D">
        <w:rPr>
          <w:rFonts w:cstheme="minorHAnsi"/>
          <w:i/>
          <w:iCs/>
          <w:sz w:val="20"/>
          <w:szCs w:val="20"/>
        </w:rPr>
        <w:t>pieniądze</w:t>
      </w:r>
      <w:r w:rsidRPr="00333E20">
        <w:rPr>
          <w:rFonts w:cstheme="minorHAnsi"/>
          <w:i/>
          <w:iCs/>
          <w:sz w:val="20"/>
          <w:szCs w:val="20"/>
        </w:rPr>
        <w:t xml:space="preserve"> z KPO już w II kwartale przełożą się na mocny wzrost produkcji budowlanej w obszarze infrastruktury. Wyniki GUS pokazują wciąż głębokie spadki w tym obszarze w II kwartale, a w ślad za tym na wyraźnym minusie mamy finansowanie maszyn budowlanych</w:t>
      </w:r>
      <w:r>
        <w:rPr>
          <w:rFonts w:cstheme="minorHAnsi"/>
          <w:sz w:val="20"/>
          <w:szCs w:val="20"/>
        </w:rPr>
        <w:t xml:space="preserve"> – mówi </w:t>
      </w:r>
      <w:r w:rsidRPr="00C8275A">
        <w:rPr>
          <w:rFonts w:cstheme="minorHAnsi"/>
          <w:b/>
          <w:bCs/>
          <w:sz w:val="20"/>
          <w:szCs w:val="20"/>
        </w:rPr>
        <w:t>Marcin Nieplowicz</w:t>
      </w:r>
      <w:r>
        <w:rPr>
          <w:rFonts w:cstheme="minorHAnsi"/>
          <w:sz w:val="20"/>
          <w:szCs w:val="20"/>
        </w:rPr>
        <w:t>, główny ekonomista ZPL oraz EFL.</w:t>
      </w:r>
    </w:p>
    <w:p w14:paraId="197CEBCE" w14:textId="77777777" w:rsidR="00133576" w:rsidRDefault="00133576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 </w:t>
      </w:r>
      <w:r w:rsidRPr="00F025F0">
        <w:rPr>
          <w:rFonts w:cstheme="minorHAnsi"/>
          <w:sz w:val="20"/>
          <w:szCs w:val="20"/>
        </w:rPr>
        <w:t xml:space="preserve">jak dodaje, nastąpiła </w:t>
      </w:r>
      <w:r>
        <w:rPr>
          <w:rFonts w:cstheme="minorHAnsi"/>
          <w:sz w:val="20"/>
          <w:szCs w:val="20"/>
        </w:rPr>
        <w:t xml:space="preserve">również </w:t>
      </w:r>
      <w:r w:rsidRPr="00F025F0">
        <w:rPr>
          <w:rFonts w:cstheme="minorHAnsi"/>
          <w:sz w:val="20"/>
          <w:szCs w:val="20"/>
        </w:rPr>
        <w:t xml:space="preserve">znacząca korekta cen </w:t>
      </w:r>
      <w:r>
        <w:rPr>
          <w:rFonts w:cstheme="minorHAnsi"/>
          <w:sz w:val="20"/>
          <w:szCs w:val="20"/>
        </w:rPr>
        <w:t>przedmiotów</w:t>
      </w:r>
      <w:r w:rsidRPr="00F025F0">
        <w:rPr>
          <w:rFonts w:cstheme="minorHAnsi"/>
          <w:sz w:val="20"/>
          <w:szCs w:val="20"/>
        </w:rPr>
        <w:t xml:space="preserve"> przekazywanych w leasing, w tym przede wszystkim pojazdów ciężkich. Choć widoczny jest popyt na </w:t>
      </w:r>
      <w:r w:rsidRPr="00333E20">
        <w:rPr>
          <w:rFonts w:cstheme="minorHAnsi"/>
          <w:sz w:val="20"/>
          <w:szCs w:val="20"/>
        </w:rPr>
        <w:t xml:space="preserve">finansowanie aut ciężarowych, </w:t>
      </w:r>
      <w:r w:rsidRPr="00F025F0">
        <w:rPr>
          <w:rFonts w:cstheme="minorHAnsi"/>
          <w:sz w:val="20"/>
          <w:szCs w:val="20"/>
        </w:rPr>
        <w:t xml:space="preserve">co </w:t>
      </w:r>
      <w:r w:rsidRPr="00333E20">
        <w:rPr>
          <w:rFonts w:cstheme="minorHAnsi"/>
          <w:sz w:val="20"/>
          <w:szCs w:val="20"/>
        </w:rPr>
        <w:t xml:space="preserve">pokazują rosnące dynamiki rejestracji nowych </w:t>
      </w:r>
      <w:r w:rsidRPr="00F025F0">
        <w:rPr>
          <w:rFonts w:cstheme="minorHAnsi"/>
          <w:sz w:val="20"/>
          <w:szCs w:val="20"/>
        </w:rPr>
        <w:t>pojazdów</w:t>
      </w:r>
      <w:r w:rsidRPr="00333E20">
        <w:rPr>
          <w:rFonts w:cstheme="minorHAnsi"/>
          <w:sz w:val="20"/>
          <w:szCs w:val="20"/>
        </w:rPr>
        <w:t xml:space="preserve">. </w:t>
      </w:r>
      <w:r w:rsidRPr="00F025F0">
        <w:rPr>
          <w:rFonts w:cstheme="minorHAnsi"/>
          <w:sz w:val="20"/>
          <w:szCs w:val="20"/>
        </w:rPr>
        <w:t>To jednak</w:t>
      </w:r>
      <w:r w:rsidRPr="00333E20">
        <w:rPr>
          <w:rFonts w:cstheme="minorHAnsi"/>
          <w:sz w:val="20"/>
          <w:szCs w:val="20"/>
        </w:rPr>
        <w:t xml:space="preserve"> spadek średniej wartości transakcji powoduje, że nie przekłada się to na wyraźniejszy wzrost finansowania </w:t>
      </w:r>
      <w:r w:rsidRPr="00F025F0">
        <w:rPr>
          <w:rFonts w:cstheme="minorHAnsi"/>
          <w:sz w:val="20"/>
          <w:szCs w:val="20"/>
        </w:rPr>
        <w:t>aut ciężarowych</w:t>
      </w:r>
      <w:r w:rsidRPr="00333E20">
        <w:rPr>
          <w:rFonts w:cstheme="minorHAnsi"/>
          <w:sz w:val="20"/>
          <w:szCs w:val="20"/>
        </w:rPr>
        <w:t xml:space="preserve"> przez firmy leasingowe.</w:t>
      </w:r>
      <w:r>
        <w:rPr>
          <w:rFonts w:cstheme="minorHAnsi"/>
          <w:sz w:val="20"/>
          <w:szCs w:val="20"/>
        </w:rPr>
        <w:t xml:space="preserve"> Mamy zatem do czynienia ze wzrostem ilościowym, ale nie wartościowym.</w:t>
      </w:r>
    </w:p>
    <w:p w14:paraId="686EF103" w14:textId="77777777" w:rsidR="00133576" w:rsidRPr="00333E20" w:rsidRDefault="00133576" w:rsidP="00EC3E37">
      <w:pPr>
        <w:spacing w:before="240" w:after="240" w:line="276" w:lineRule="auto"/>
        <w:jc w:val="center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4D48A0BF" wp14:editId="764BA1EA">
            <wp:extent cx="5759450" cy="3551555"/>
            <wp:effectExtent l="0" t="0" r="0" b="0"/>
            <wp:docPr id="1336405910" name="Obraz 1" descr="Obraz zawierający tekst, zrzut ekranu, Czcionka, diagra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405910" name="Obraz 1" descr="Obraz zawierający tekst, zrzut ekranu, Czcionka, diagram&#10;&#10;Zawartość wygenerowana przez AI może być niepoprawna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0DC41" w14:textId="77777777" w:rsidR="00133576" w:rsidRPr="00E10A3F" w:rsidRDefault="00133576" w:rsidP="00133576">
      <w:pPr>
        <w:spacing w:before="240" w:after="240" w:line="276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Finansowanie w podziale na aktywa</w:t>
      </w:r>
    </w:p>
    <w:p w14:paraId="1EAE6D20" w14:textId="77777777" w:rsidR="00133576" w:rsidRPr="0069433B" w:rsidRDefault="00133576" w:rsidP="00133576">
      <w:pPr>
        <w:spacing w:line="276" w:lineRule="auto"/>
        <w:jc w:val="both"/>
        <w:rPr>
          <w:rFonts w:cstheme="minorHAnsi"/>
          <w:sz w:val="20"/>
          <w:szCs w:val="20"/>
        </w:rPr>
      </w:pPr>
      <w:r w:rsidRPr="0069433B">
        <w:rPr>
          <w:rFonts w:cstheme="minorHAnsi"/>
          <w:sz w:val="20"/>
          <w:szCs w:val="20"/>
        </w:rPr>
        <w:t>Głównym segmentem rynku pozostają pojazdy, które odpowiadają za ponad 7</w:t>
      </w:r>
      <w:r>
        <w:rPr>
          <w:rFonts w:cstheme="minorHAnsi"/>
          <w:sz w:val="20"/>
          <w:szCs w:val="20"/>
        </w:rPr>
        <w:t>4</w:t>
      </w:r>
      <w:r w:rsidRPr="0069433B">
        <w:rPr>
          <w:rFonts w:cstheme="minorHAnsi"/>
          <w:sz w:val="20"/>
          <w:szCs w:val="20"/>
        </w:rPr>
        <w:t xml:space="preserve">% całkowitego finansowania. Wartość </w:t>
      </w:r>
      <w:r>
        <w:rPr>
          <w:rFonts w:cstheme="minorHAnsi"/>
          <w:sz w:val="20"/>
          <w:szCs w:val="20"/>
        </w:rPr>
        <w:t>s</w:t>
      </w:r>
      <w:r w:rsidRPr="0069433B">
        <w:rPr>
          <w:rFonts w:cstheme="minorHAnsi"/>
          <w:sz w:val="20"/>
          <w:szCs w:val="20"/>
        </w:rPr>
        <w:t>finansowan</w:t>
      </w:r>
      <w:r>
        <w:rPr>
          <w:rFonts w:cstheme="minorHAnsi"/>
          <w:sz w:val="20"/>
          <w:szCs w:val="20"/>
        </w:rPr>
        <w:t>ych</w:t>
      </w:r>
      <w:r w:rsidRPr="0069433B">
        <w:rPr>
          <w:rFonts w:cstheme="minorHAnsi"/>
          <w:sz w:val="20"/>
          <w:szCs w:val="20"/>
        </w:rPr>
        <w:t xml:space="preserve"> pojazdów wyniosła 41,9 mld zł (+6,3% r/r), z czego:</w:t>
      </w:r>
    </w:p>
    <w:p w14:paraId="249D315B" w14:textId="77777777" w:rsidR="00133576" w:rsidRPr="0069433B" w:rsidRDefault="00133576" w:rsidP="00133576">
      <w:pPr>
        <w:numPr>
          <w:ilvl w:val="0"/>
          <w:numId w:val="8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69433B">
        <w:rPr>
          <w:rFonts w:cstheme="minorHAnsi"/>
          <w:sz w:val="20"/>
          <w:szCs w:val="20"/>
        </w:rPr>
        <w:t>samochody osobowe osiągnęły dwucyfrową dynamikę wzrostu (+10,9%),</w:t>
      </w:r>
    </w:p>
    <w:p w14:paraId="3D7B3A8A" w14:textId="77777777" w:rsidR="00133576" w:rsidRPr="0069433B" w:rsidRDefault="00133576" w:rsidP="00133576">
      <w:pPr>
        <w:numPr>
          <w:ilvl w:val="0"/>
          <w:numId w:val="8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69433B">
        <w:rPr>
          <w:rFonts w:cstheme="minorHAnsi"/>
          <w:sz w:val="20"/>
          <w:szCs w:val="20"/>
        </w:rPr>
        <w:t>autobusy zanotowały wzrost aż o 37,6%,</w:t>
      </w:r>
    </w:p>
    <w:p w14:paraId="3B8188BD" w14:textId="77777777" w:rsidR="00133576" w:rsidRPr="00A71322" w:rsidRDefault="00133576" w:rsidP="00133576">
      <w:pPr>
        <w:numPr>
          <w:ilvl w:val="0"/>
          <w:numId w:val="8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69433B">
        <w:rPr>
          <w:rFonts w:cstheme="minorHAnsi"/>
          <w:sz w:val="20"/>
          <w:szCs w:val="20"/>
        </w:rPr>
        <w:t>segment pojazdów ciężkich pozostał stabilny (-0,5%), przy spadkach dla ciągników siodłowych (-8,4%).</w:t>
      </w:r>
    </w:p>
    <w:p w14:paraId="736794DF" w14:textId="77777777" w:rsidR="00133576" w:rsidRDefault="00133576" w:rsidP="00133576">
      <w:pPr>
        <w:spacing w:before="240" w:after="240" w:line="276" w:lineRule="auto"/>
        <w:jc w:val="both"/>
        <w:rPr>
          <w:rFonts w:cstheme="minorHAnsi"/>
          <w:i/>
          <w:iCs/>
          <w:sz w:val="20"/>
          <w:szCs w:val="20"/>
        </w:rPr>
      </w:pPr>
      <w:r w:rsidRPr="00653377">
        <w:rPr>
          <w:rFonts w:cstheme="minorHAnsi"/>
          <w:i/>
          <w:iCs/>
          <w:sz w:val="20"/>
          <w:szCs w:val="20"/>
        </w:rPr>
        <w:t>-</w:t>
      </w:r>
      <w:r w:rsidRPr="00254A49">
        <w:rPr>
          <w:rFonts w:ascii="Arial" w:eastAsiaTheme="minorEastAsia" w:hAnsi="Arial" w:cs="Arial"/>
          <w:color w:val="000000"/>
        </w:rPr>
        <w:t xml:space="preserve"> </w:t>
      </w:r>
      <w:r w:rsidRPr="00E90745">
        <w:rPr>
          <w:rFonts w:cstheme="minorHAnsi"/>
          <w:i/>
          <w:iCs/>
          <w:sz w:val="20"/>
          <w:szCs w:val="20"/>
        </w:rPr>
        <w:t xml:space="preserve">Oczekujemy, że wzrost gospodarczy w 2025 wyniesie ok. 3,5% i będzie mocno bazował na popycie konsumpcyjnym. Przełoży się </w:t>
      </w:r>
      <w:r>
        <w:rPr>
          <w:rFonts w:cstheme="minorHAnsi"/>
          <w:i/>
          <w:iCs/>
          <w:sz w:val="20"/>
          <w:szCs w:val="20"/>
        </w:rPr>
        <w:t xml:space="preserve">to </w:t>
      </w:r>
      <w:r w:rsidRPr="00E90745">
        <w:rPr>
          <w:rFonts w:cstheme="minorHAnsi"/>
          <w:i/>
          <w:iCs/>
          <w:sz w:val="20"/>
          <w:szCs w:val="20"/>
        </w:rPr>
        <w:t xml:space="preserve">na wzrost finansowania pojazdów lekkich w dalszej części roku.  </w:t>
      </w:r>
      <w:r w:rsidRPr="00FC1A0F">
        <w:rPr>
          <w:rFonts w:cstheme="minorHAnsi"/>
          <w:i/>
          <w:iCs/>
          <w:sz w:val="20"/>
          <w:szCs w:val="20"/>
        </w:rPr>
        <w:t>Stabilnie, choć bez spektakularnych wzrostów, rozwija się segment pojazdów ciężkich</w:t>
      </w:r>
      <w:r>
        <w:rPr>
          <w:rFonts w:cstheme="minorHAnsi"/>
          <w:i/>
          <w:iCs/>
          <w:sz w:val="20"/>
          <w:szCs w:val="20"/>
        </w:rPr>
        <w:t>. N</w:t>
      </w:r>
      <w:r w:rsidRPr="00E90745">
        <w:rPr>
          <w:rFonts w:cstheme="minorHAnsi"/>
          <w:i/>
          <w:iCs/>
          <w:sz w:val="20"/>
          <w:szCs w:val="20"/>
        </w:rPr>
        <w:t xml:space="preserve">ajgorsze jest już </w:t>
      </w:r>
      <w:r>
        <w:rPr>
          <w:rFonts w:cstheme="minorHAnsi"/>
          <w:i/>
          <w:iCs/>
          <w:sz w:val="20"/>
          <w:szCs w:val="20"/>
        </w:rPr>
        <w:t xml:space="preserve">jednak </w:t>
      </w:r>
      <w:r w:rsidRPr="00E90745">
        <w:rPr>
          <w:rFonts w:cstheme="minorHAnsi"/>
          <w:i/>
          <w:iCs/>
          <w:sz w:val="20"/>
          <w:szCs w:val="20"/>
        </w:rPr>
        <w:t>za nami, ale wciąż problemy w przemyśle strefy euro i trudna sytuacja finansowa firm transportowych, przekładają się na niski popyt inwestycyjny w transporcie drogowym międzynarodowym i spadek średniej wartości transakcji</w:t>
      </w:r>
      <w:r w:rsidRPr="00E90745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– mówi </w:t>
      </w:r>
      <w:r w:rsidRPr="00A71322">
        <w:rPr>
          <w:rFonts w:cstheme="minorHAnsi"/>
          <w:b/>
          <w:bCs/>
          <w:sz w:val="20"/>
          <w:szCs w:val="20"/>
        </w:rPr>
        <w:t>Marcin Nieplowicz</w:t>
      </w:r>
      <w:r>
        <w:rPr>
          <w:rFonts w:cstheme="minorHAnsi"/>
          <w:sz w:val="20"/>
          <w:szCs w:val="20"/>
        </w:rPr>
        <w:t>.</w:t>
      </w:r>
    </w:p>
    <w:p w14:paraId="67C72386" w14:textId="77777777" w:rsidR="00133576" w:rsidRDefault="00133576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 w:rsidRPr="00BB1D17">
        <w:rPr>
          <w:rFonts w:cstheme="minorHAnsi"/>
          <w:sz w:val="20"/>
          <w:szCs w:val="20"/>
        </w:rPr>
        <w:t>Maszyny i urządzenia</w:t>
      </w:r>
      <w:r>
        <w:rPr>
          <w:rFonts w:cstheme="minorHAnsi"/>
          <w:sz w:val="20"/>
          <w:szCs w:val="20"/>
        </w:rPr>
        <w:t xml:space="preserve"> zostały sfinansowane przez firmy leasingowe</w:t>
      </w:r>
      <w:r w:rsidRPr="00BB1D17">
        <w:rPr>
          <w:rFonts w:cstheme="minorHAnsi"/>
          <w:sz w:val="20"/>
          <w:szCs w:val="20"/>
        </w:rPr>
        <w:t xml:space="preserve"> na kwotę 12,7 mld zł, co oznacza wzrost o 1,3% </w:t>
      </w:r>
      <w:r>
        <w:rPr>
          <w:rFonts w:cstheme="minorHAnsi"/>
          <w:sz w:val="20"/>
          <w:szCs w:val="20"/>
        </w:rPr>
        <w:t>rok do roku. Na ten niski wzrost duży wpływ ma sprzęt budowlany, który odnotował u</w:t>
      </w:r>
      <w:r w:rsidRPr="00586FB1">
        <w:rPr>
          <w:rFonts w:cstheme="minorHAnsi"/>
          <w:sz w:val="20"/>
          <w:szCs w:val="20"/>
        </w:rPr>
        <w:t>jemny wynik finansowania</w:t>
      </w:r>
      <w:r>
        <w:rPr>
          <w:rFonts w:cstheme="minorHAnsi"/>
          <w:sz w:val="20"/>
          <w:szCs w:val="20"/>
        </w:rPr>
        <w:t>. A wraz z maszynami rolniczymi stanowi prawie 50 proc. całego portfela finansowania maszyn i urządzeń. Firmy leasingowe sfinansowały zakup sprzętu budowalnego dla przedsiębiorstw na kwotę 2,4 mld zł (spadek o 9%), a maszyn rolniczych na 3,8 mld zł (wzrost o 32%).</w:t>
      </w:r>
    </w:p>
    <w:p w14:paraId="5DAAB6E7" w14:textId="77777777" w:rsidR="00133576" w:rsidRDefault="00133576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0E4EC0">
        <w:rPr>
          <w:rFonts w:cstheme="minorHAnsi"/>
          <w:i/>
          <w:iCs/>
          <w:sz w:val="20"/>
          <w:szCs w:val="20"/>
        </w:rPr>
        <w:t>F</w:t>
      </w:r>
      <w:r w:rsidRPr="00586FB1">
        <w:rPr>
          <w:rFonts w:cstheme="minorHAnsi"/>
          <w:i/>
          <w:iCs/>
          <w:sz w:val="20"/>
          <w:szCs w:val="20"/>
        </w:rPr>
        <w:t>inansowani</w:t>
      </w:r>
      <w:r w:rsidRPr="000E4EC0">
        <w:rPr>
          <w:rFonts w:cstheme="minorHAnsi"/>
          <w:i/>
          <w:iCs/>
          <w:sz w:val="20"/>
          <w:szCs w:val="20"/>
        </w:rPr>
        <w:t>e</w:t>
      </w:r>
      <w:r w:rsidRPr="00586FB1">
        <w:rPr>
          <w:rFonts w:cstheme="minorHAnsi"/>
          <w:i/>
          <w:iCs/>
          <w:sz w:val="20"/>
          <w:szCs w:val="20"/>
        </w:rPr>
        <w:t xml:space="preserve"> maszyn budowlanych</w:t>
      </w:r>
      <w:r w:rsidRPr="000E4EC0">
        <w:rPr>
          <w:rFonts w:cstheme="minorHAnsi"/>
          <w:i/>
          <w:iCs/>
          <w:sz w:val="20"/>
          <w:szCs w:val="20"/>
        </w:rPr>
        <w:t xml:space="preserve"> jest</w:t>
      </w:r>
      <w:r w:rsidRPr="00586FB1">
        <w:rPr>
          <w:rFonts w:cstheme="minorHAnsi"/>
          <w:i/>
          <w:iCs/>
          <w:sz w:val="20"/>
          <w:szCs w:val="20"/>
        </w:rPr>
        <w:t xml:space="preserve"> pod negatywnym wpływem hamowania aktywności deweloperskiej na przełomie 2024 i 2025 roku, przy wciąż jeszcze niskiej aktywności w budownictwie infrastrukturalnym. Nadal obserwujemy bardzo mocne odbicie w maszynach rolniczych, co wiąże się już z rosnącymi cenami skupu </w:t>
      </w:r>
      <w:r w:rsidRPr="00586FB1">
        <w:rPr>
          <w:rFonts w:cstheme="minorHAnsi"/>
          <w:i/>
          <w:iCs/>
          <w:sz w:val="20"/>
          <w:szCs w:val="20"/>
        </w:rPr>
        <w:lastRenderedPageBreak/>
        <w:t xml:space="preserve">podstawowych produktów rolnych i wynikającą z tego poprawą nastrojów wśród gospodarstw rolnych. Sektor ten wspierają też </w:t>
      </w:r>
      <w:r w:rsidRPr="000E4EC0">
        <w:rPr>
          <w:rFonts w:cstheme="minorHAnsi"/>
          <w:i/>
          <w:iCs/>
          <w:sz w:val="20"/>
          <w:szCs w:val="20"/>
        </w:rPr>
        <w:t>pieniądze</w:t>
      </w:r>
      <w:r w:rsidRPr="00586FB1">
        <w:rPr>
          <w:rFonts w:cstheme="minorHAnsi"/>
          <w:i/>
          <w:iCs/>
          <w:sz w:val="20"/>
          <w:szCs w:val="20"/>
        </w:rPr>
        <w:t xml:space="preserve"> z kończącego się </w:t>
      </w:r>
      <w:r w:rsidRPr="000E4EC0">
        <w:rPr>
          <w:rFonts w:cstheme="minorHAnsi"/>
          <w:i/>
          <w:iCs/>
          <w:sz w:val="20"/>
          <w:szCs w:val="20"/>
        </w:rPr>
        <w:t>Programu Rozwoju Obszarów Wiejskich</w:t>
      </w:r>
      <w:r>
        <w:rPr>
          <w:rFonts w:cstheme="minorHAnsi"/>
          <w:sz w:val="20"/>
          <w:szCs w:val="20"/>
        </w:rPr>
        <w:t xml:space="preserve"> – tłumaczy </w:t>
      </w:r>
      <w:r w:rsidRPr="000E4EC0">
        <w:rPr>
          <w:rFonts w:cstheme="minorHAnsi"/>
          <w:b/>
          <w:bCs/>
          <w:sz w:val="20"/>
          <w:szCs w:val="20"/>
        </w:rPr>
        <w:t>Marcin Nieplowicz</w:t>
      </w:r>
      <w:r>
        <w:rPr>
          <w:rFonts w:cstheme="minorHAnsi"/>
          <w:sz w:val="20"/>
          <w:szCs w:val="20"/>
        </w:rPr>
        <w:t>.</w:t>
      </w:r>
    </w:p>
    <w:p w14:paraId="793792FB" w14:textId="77777777" w:rsidR="00133576" w:rsidRPr="00425870" w:rsidRDefault="00133576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 w:rsidRPr="00BB1D17">
        <w:rPr>
          <w:rFonts w:cstheme="minorHAnsi"/>
          <w:sz w:val="20"/>
          <w:szCs w:val="20"/>
        </w:rPr>
        <w:t>Silną dynamikę wykazuje sektor IT, gdzie finansowanie wzrosło o 32,3%. Dynamicznie rośnie również finansowanie środków transportu kolejowego, lotniczego i morskiego – o 26,1%</w:t>
      </w:r>
      <w:r>
        <w:rPr>
          <w:rFonts w:cstheme="minorHAnsi"/>
          <w:sz w:val="20"/>
          <w:szCs w:val="20"/>
        </w:rPr>
        <w:t>. Z kolei w</w:t>
      </w:r>
      <w:r w:rsidRPr="00BB1D17">
        <w:rPr>
          <w:rFonts w:cstheme="minorHAnsi"/>
          <w:sz w:val="20"/>
          <w:szCs w:val="20"/>
        </w:rPr>
        <w:t xml:space="preserve"> segmencie nieruchomości I kwartał przyniósł spadki, jednak II kwartał przyniósł wyraźne odbicie –</w:t>
      </w:r>
      <w:r>
        <w:rPr>
          <w:rFonts w:cstheme="minorHAnsi"/>
          <w:sz w:val="20"/>
          <w:szCs w:val="20"/>
        </w:rPr>
        <w:t xml:space="preserve"> łącznie </w:t>
      </w:r>
      <w:r w:rsidRPr="00BB1D17">
        <w:rPr>
          <w:rFonts w:cstheme="minorHAnsi"/>
          <w:sz w:val="20"/>
          <w:szCs w:val="20"/>
        </w:rPr>
        <w:t>w I półroczu firmy leasingowe sfinansowały nieruchomości na kwotę 365,6 mln zł (+23% r/r).</w:t>
      </w:r>
    </w:p>
    <w:p w14:paraId="640EA9EE" w14:textId="77777777" w:rsidR="00133576" w:rsidRPr="00A419BD" w:rsidRDefault="00133576" w:rsidP="00133576">
      <w:pPr>
        <w:spacing w:before="240" w:after="240"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sz w:val="20"/>
          <w:szCs w:val="20"/>
        </w:rPr>
        <w:t>W strukturze finansowania aktywów (ruchomości) przez firmy leasingowe (łącznie leasing i pożyczka leasingowa). największą część stanowią pojazdy osobowe i ciężarowe – 7</w:t>
      </w:r>
      <w:r>
        <w:rPr>
          <w:rFonts w:cstheme="minorHAnsi"/>
          <w:sz w:val="20"/>
          <w:szCs w:val="20"/>
        </w:rPr>
        <w:t>4%</w:t>
      </w:r>
      <w:r w:rsidRPr="00A419BD">
        <w:rPr>
          <w:rFonts w:cstheme="minorHAnsi"/>
          <w:sz w:val="20"/>
          <w:szCs w:val="20"/>
        </w:rPr>
        <w:t>, a następnie maszyny i urządzenia – 22,5</w:t>
      </w:r>
      <w:r>
        <w:rPr>
          <w:rFonts w:cstheme="minorHAnsi"/>
          <w:sz w:val="20"/>
          <w:szCs w:val="20"/>
        </w:rPr>
        <w:t>%</w:t>
      </w:r>
    </w:p>
    <w:p w14:paraId="219A0E51" w14:textId="77777777" w:rsidR="00133576" w:rsidRPr="00A419BD" w:rsidRDefault="00133576" w:rsidP="00133576">
      <w:pPr>
        <w:spacing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sz w:val="20"/>
          <w:szCs w:val="20"/>
        </w:rPr>
        <w:t>Finansowanie w podziale na aktywa:</w:t>
      </w:r>
    </w:p>
    <w:p w14:paraId="2E2400C2" w14:textId="77777777" w:rsidR="00133576" w:rsidRPr="00A419BD" w:rsidRDefault="00133576" w:rsidP="001335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b/>
          <w:bCs/>
          <w:sz w:val="20"/>
          <w:szCs w:val="20"/>
        </w:rPr>
        <w:t>Pojazdy</w:t>
      </w:r>
      <w:r w:rsidRPr="00A419BD">
        <w:rPr>
          <w:rFonts w:cstheme="minorHAnsi"/>
          <w:sz w:val="20"/>
          <w:szCs w:val="20"/>
        </w:rPr>
        <w:t xml:space="preserve"> – 41,9 mld zł (wzrost o 6,3</w:t>
      </w:r>
      <w:r>
        <w:rPr>
          <w:rFonts w:cstheme="minorHAnsi"/>
          <w:sz w:val="20"/>
          <w:szCs w:val="20"/>
        </w:rPr>
        <w:t>%</w:t>
      </w:r>
      <w:r w:rsidRPr="00A419BD">
        <w:rPr>
          <w:rFonts w:cstheme="minorHAnsi"/>
          <w:sz w:val="20"/>
          <w:szCs w:val="20"/>
        </w:rPr>
        <w:t>), w tym m.in.</w:t>
      </w:r>
    </w:p>
    <w:p w14:paraId="363DE952" w14:textId="77777777" w:rsidR="00133576" w:rsidRPr="00A419BD" w:rsidRDefault="00133576" w:rsidP="00133576">
      <w:pPr>
        <w:numPr>
          <w:ilvl w:val="0"/>
          <w:numId w:val="7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sz w:val="20"/>
          <w:szCs w:val="20"/>
        </w:rPr>
        <w:t>pojazdy lekkie (osobowe i dostawcze) – 3</w:t>
      </w:r>
      <w:r>
        <w:rPr>
          <w:rFonts w:cstheme="minorHAnsi"/>
          <w:sz w:val="20"/>
          <w:szCs w:val="20"/>
        </w:rPr>
        <w:t>2,0</w:t>
      </w:r>
      <w:r w:rsidRPr="00A419BD">
        <w:rPr>
          <w:rFonts w:cstheme="minorHAnsi"/>
          <w:sz w:val="20"/>
          <w:szCs w:val="20"/>
        </w:rPr>
        <w:t xml:space="preserve"> mld zł (wzrost o 8,7</w:t>
      </w:r>
      <w:r>
        <w:rPr>
          <w:rFonts w:cstheme="minorHAnsi"/>
          <w:sz w:val="20"/>
          <w:szCs w:val="20"/>
        </w:rPr>
        <w:t>%</w:t>
      </w:r>
      <w:r w:rsidRPr="00A419BD">
        <w:rPr>
          <w:rFonts w:cstheme="minorHAnsi"/>
          <w:sz w:val="20"/>
          <w:szCs w:val="20"/>
        </w:rPr>
        <w:t>)</w:t>
      </w:r>
    </w:p>
    <w:p w14:paraId="002CB646" w14:textId="77777777" w:rsidR="00133576" w:rsidRPr="00A419BD" w:rsidRDefault="00133576" w:rsidP="00133576">
      <w:pPr>
        <w:numPr>
          <w:ilvl w:val="0"/>
          <w:numId w:val="7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sz w:val="20"/>
          <w:szCs w:val="20"/>
        </w:rPr>
        <w:t>pojazdy ciężkie – 9,4 mld zł (spadek o 0,5</w:t>
      </w:r>
      <w:r>
        <w:rPr>
          <w:rFonts w:cstheme="minorHAnsi"/>
          <w:sz w:val="20"/>
          <w:szCs w:val="20"/>
        </w:rPr>
        <w:t>%</w:t>
      </w:r>
      <w:r w:rsidRPr="00A419BD">
        <w:rPr>
          <w:rFonts w:cstheme="minorHAnsi"/>
          <w:sz w:val="20"/>
          <w:szCs w:val="20"/>
        </w:rPr>
        <w:t>)</w:t>
      </w:r>
    </w:p>
    <w:p w14:paraId="4E5959D8" w14:textId="77777777" w:rsidR="00133576" w:rsidRPr="00A419BD" w:rsidRDefault="00133576" w:rsidP="00133576">
      <w:pPr>
        <w:numPr>
          <w:ilvl w:val="0"/>
          <w:numId w:val="7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sz w:val="20"/>
          <w:szCs w:val="20"/>
        </w:rPr>
        <w:t xml:space="preserve">inne pojazdy – 0,5 mld zł (spadek o </w:t>
      </w:r>
      <w:r>
        <w:rPr>
          <w:rFonts w:cstheme="minorHAnsi"/>
          <w:sz w:val="20"/>
          <w:szCs w:val="20"/>
        </w:rPr>
        <w:t>5,2%</w:t>
      </w:r>
      <w:r w:rsidRPr="00A419BD">
        <w:rPr>
          <w:rFonts w:cstheme="minorHAnsi"/>
          <w:sz w:val="20"/>
          <w:szCs w:val="20"/>
        </w:rPr>
        <w:t>)</w:t>
      </w:r>
    </w:p>
    <w:p w14:paraId="54D89912" w14:textId="77777777" w:rsidR="00133576" w:rsidRPr="00A419BD" w:rsidRDefault="00133576" w:rsidP="001335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b/>
          <w:bCs/>
          <w:sz w:val="20"/>
          <w:szCs w:val="20"/>
        </w:rPr>
        <w:t xml:space="preserve">Maszyny i urządzenia </w:t>
      </w:r>
      <w:r w:rsidRPr="00A419BD">
        <w:rPr>
          <w:rFonts w:cstheme="minorHAnsi"/>
          <w:sz w:val="20"/>
          <w:szCs w:val="20"/>
        </w:rPr>
        <w:t xml:space="preserve">– 12,7 mld zł (wzrost o </w:t>
      </w:r>
      <w:r>
        <w:rPr>
          <w:rFonts w:cstheme="minorHAnsi"/>
          <w:sz w:val="20"/>
          <w:szCs w:val="20"/>
        </w:rPr>
        <w:t>1,3%</w:t>
      </w:r>
      <w:r w:rsidRPr="00A419BD">
        <w:rPr>
          <w:rFonts w:cstheme="minorHAnsi"/>
          <w:sz w:val="20"/>
          <w:szCs w:val="20"/>
        </w:rPr>
        <w:t>)</w:t>
      </w:r>
    </w:p>
    <w:p w14:paraId="14753B75" w14:textId="77777777" w:rsidR="00133576" w:rsidRDefault="00133576" w:rsidP="001335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b/>
          <w:bCs/>
          <w:sz w:val="20"/>
          <w:szCs w:val="20"/>
        </w:rPr>
        <w:t>Pozostałe ruchomości</w:t>
      </w:r>
      <w:r w:rsidRPr="00A419BD">
        <w:rPr>
          <w:rFonts w:cstheme="minorHAnsi"/>
          <w:sz w:val="20"/>
          <w:szCs w:val="20"/>
        </w:rPr>
        <w:t xml:space="preserve"> – 1,7 mld zł (wzrost o 22,9</w:t>
      </w:r>
      <w:r>
        <w:rPr>
          <w:rFonts w:cstheme="minorHAnsi"/>
          <w:sz w:val="20"/>
          <w:szCs w:val="20"/>
        </w:rPr>
        <w:t>%</w:t>
      </w:r>
      <w:r w:rsidRPr="00A419BD">
        <w:rPr>
          <w:rFonts w:cstheme="minorHAnsi"/>
          <w:sz w:val="20"/>
          <w:szCs w:val="20"/>
        </w:rPr>
        <w:t>)</w:t>
      </w:r>
    </w:p>
    <w:p w14:paraId="7076AAE7" w14:textId="77777777" w:rsidR="00133576" w:rsidRDefault="00133576" w:rsidP="00133576">
      <w:pPr>
        <w:pStyle w:val="Akapitzlist"/>
        <w:numPr>
          <w:ilvl w:val="1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IT – 0,59 mld zł (wzrost o 32%)</w:t>
      </w:r>
    </w:p>
    <w:p w14:paraId="138750FD" w14:textId="77777777" w:rsidR="00133576" w:rsidRPr="00A419BD" w:rsidRDefault="00133576" w:rsidP="00133576">
      <w:pPr>
        <w:pStyle w:val="Akapitzlist"/>
        <w:numPr>
          <w:ilvl w:val="1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</w:t>
      </w:r>
      <w:r w:rsidRPr="00BB1D17">
        <w:rPr>
          <w:rFonts w:cstheme="minorHAnsi"/>
          <w:sz w:val="20"/>
          <w:szCs w:val="20"/>
        </w:rPr>
        <w:t>ranspor</w:t>
      </w:r>
      <w:r>
        <w:rPr>
          <w:rFonts w:cstheme="minorHAnsi"/>
          <w:sz w:val="20"/>
          <w:szCs w:val="20"/>
        </w:rPr>
        <w:t>t</w:t>
      </w:r>
      <w:r w:rsidRPr="00BB1D17">
        <w:rPr>
          <w:rFonts w:cstheme="minorHAnsi"/>
          <w:sz w:val="20"/>
          <w:szCs w:val="20"/>
        </w:rPr>
        <w:t xml:space="preserve"> kolejow</w:t>
      </w:r>
      <w:r>
        <w:rPr>
          <w:rFonts w:cstheme="minorHAnsi"/>
          <w:sz w:val="20"/>
          <w:szCs w:val="20"/>
        </w:rPr>
        <w:t>y</w:t>
      </w:r>
      <w:r w:rsidRPr="00BB1D17">
        <w:rPr>
          <w:rFonts w:cstheme="minorHAnsi"/>
          <w:sz w:val="20"/>
          <w:szCs w:val="20"/>
        </w:rPr>
        <w:t>, lotnicz</w:t>
      </w:r>
      <w:r>
        <w:rPr>
          <w:rFonts w:cstheme="minorHAnsi"/>
          <w:sz w:val="20"/>
          <w:szCs w:val="20"/>
        </w:rPr>
        <w:t>y</w:t>
      </w:r>
      <w:r w:rsidRPr="00BB1D17">
        <w:rPr>
          <w:rFonts w:cstheme="minorHAnsi"/>
          <w:sz w:val="20"/>
          <w:szCs w:val="20"/>
        </w:rPr>
        <w:t xml:space="preserve"> i morski</w:t>
      </w:r>
      <w:r>
        <w:rPr>
          <w:rFonts w:cstheme="minorHAnsi"/>
          <w:sz w:val="20"/>
          <w:szCs w:val="20"/>
        </w:rPr>
        <w:t xml:space="preserve"> – 0,87 mld zł (wzrost o 26%)</w:t>
      </w:r>
    </w:p>
    <w:p w14:paraId="493AB122" w14:textId="77777777" w:rsidR="00133576" w:rsidRPr="00080F9A" w:rsidRDefault="00133576" w:rsidP="001335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A419BD">
        <w:rPr>
          <w:rFonts w:cstheme="minorHAnsi"/>
          <w:b/>
          <w:bCs/>
          <w:sz w:val="20"/>
          <w:szCs w:val="20"/>
        </w:rPr>
        <w:t>Nieruchomości</w:t>
      </w:r>
      <w:r w:rsidRPr="00A419BD">
        <w:rPr>
          <w:rFonts w:cstheme="minorHAnsi"/>
          <w:sz w:val="20"/>
          <w:szCs w:val="20"/>
        </w:rPr>
        <w:t xml:space="preserve"> – 0,3</w:t>
      </w:r>
      <w:r>
        <w:rPr>
          <w:rFonts w:cstheme="minorHAnsi"/>
          <w:sz w:val="20"/>
          <w:szCs w:val="20"/>
        </w:rPr>
        <w:t>7</w:t>
      </w:r>
      <w:r w:rsidRPr="00A419BD">
        <w:rPr>
          <w:rFonts w:cstheme="minorHAnsi"/>
          <w:sz w:val="20"/>
          <w:szCs w:val="20"/>
        </w:rPr>
        <w:t xml:space="preserve"> mld zł (wzrost o 23</w:t>
      </w:r>
      <w:r>
        <w:rPr>
          <w:rFonts w:cstheme="minorHAnsi"/>
          <w:sz w:val="20"/>
          <w:szCs w:val="20"/>
        </w:rPr>
        <w:t>%</w:t>
      </w:r>
      <w:r w:rsidRPr="00A419BD">
        <w:rPr>
          <w:rFonts w:cstheme="minorHAnsi"/>
          <w:sz w:val="20"/>
          <w:szCs w:val="20"/>
        </w:rPr>
        <w:t>)</w:t>
      </w:r>
      <w:r>
        <w:rPr>
          <w:rFonts w:cstheme="minorHAnsi"/>
          <w:sz w:val="20"/>
          <w:szCs w:val="20"/>
        </w:rPr>
        <w:t>.</w:t>
      </w:r>
    </w:p>
    <w:p w14:paraId="6BAA3A2B" w14:textId="77777777" w:rsidR="00133576" w:rsidRDefault="00133576" w:rsidP="00133576">
      <w:pPr>
        <w:pStyle w:val="Tekstpodstawowy"/>
        <w:spacing w:before="240" w:after="240" w:line="276" w:lineRule="auto"/>
        <w:jc w:val="center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4E8F88BD" wp14:editId="737DA8E0">
            <wp:extent cx="5213677" cy="3215005"/>
            <wp:effectExtent l="0" t="0" r="6350" b="4445"/>
            <wp:docPr id="464130190" name="Obraz 3" descr="Obraz zawierający tekst, zrzut ekranu, Czcionka, diagra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130190" name="Obraz 3" descr="Obraz zawierający tekst, zrzut ekranu, Czcionka, diagram&#10;&#10;Zawartość wygenerowana przez AI może być niepoprawna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997" cy="322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67522" w14:textId="77777777" w:rsidR="00133576" w:rsidRDefault="00133576" w:rsidP="00133576">
      <w:pPr>
        <w:pStyle w:val="Tekstpodstawowy"/>
        <w:spacing w:before="240" w:after="240" w:line="276" w:lineRule="auto"/>
        <w:jc w:val="both"/>
        <w:rPr>
          <w:rFonts w:cstheme="minorHAnsi"/>
          <w:sz w:val="20"/>
          <w:szCs w:val="20"/>
        </w:rPr>
      </w:pPr>
      <w:r w:rsidRPr="00BE1A8A">
        <w:rPr>
          <w:rFonts w:cstheme="minorHAnsi"/>
          <w:sz w:val="20"/>
          <w:szCs w:val="20"/>
        </w:rPr>
        <w:t xml:space="preserve">Sektor MŚP jest głównym odbiorcą oferty firm leasingowych (biorąc pod uwagę zarówno leasing, jak i pożyczkę leasingową). Mikro i małe firmy, czyli o obrotach do 20 ml zł, stanowią największą grupę odbiorców produktów leasingowych. Mikro firmy (klienci o obrotach do 5 mln zł) stanowiły 55% klientów firm leasingowych. Firmy o </w:t>
      </w:r>
      <w:r w:rsidRPr="00BE1A8A">
        <w:rPr>
          <w:rFonts w:cstheme="minorHAnsi"/>
          <w:sz w:val="20"/>
          <w:szCs w:val="20"/>
        </w:rPr>
        <w:lastRenderedPageBreak/>
        <w:t xml:space="preserve">obrotach od 5 do 20 mln zł to 17,4% klientów firm leasingowych, a 25,3% udział w strukturze klientów firm leasingowych miały firmy o obrotach powyżej 20 mln zł. </w:t>
      </w:r>
    </w:p>
    <w:p w14:paraId="36E83B9A" w14:textId="716F29C5" w:rsidR="000B2597" w:rsidRDefault="00E96ADD" w:rsidP="00EC3E37">
      <w:pPr>
        <w:jc w:val="center"/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50A265AC" wp14:editId="0123621D">
            <wp:extent cx="5080000" cy="3132573"/>
            <wp:effectExtent l="0" t="0" r="6350" b="0"/>
            <wp:docPr id="890635917" name="Obraz 1" descr="Obraz zawierający tekst, zrzut ekranu, Czcionka, diagra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635917" name="Obraz 1" descr="Obraz zawierający tekst, zrzut ekranu, Czcionka, diagram&#10;&#10;Zawartość wygenerowana przez AI może być niepoprawna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097" cy="315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D466D" w14:textId="77777777" w:rsidR="008B319C" w:rsidRDefault="008B319C" w:rsidP="008B319C">
      <w:pPr>
        <w:spacing w:before="240" w:after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B81A10">
        <w:rPr>
          <w:rFonts w:ascii="Calibri" w:hAnsi="Calibri" w:cs="Calibri"/>
          <w:b/>
          <w:bCs/>
          <w:sz w:val="20"/>
          <w:szCs w:val="20"/>
        </w:rPr>
        <w:t>Nowa era: e-leasing już obowiązuje</w:t>
      </w:r>
    </w:p>
    <w:p w14:paraId="1B13AC5A" w14:textId="77777777" w:rsidR="008B319C" w:rsidRDefault="008B319C" w:rsidP="008B319C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2951E3">
        <w:rPr>
          <w:rFonts w:ascii="Calibri" w:hAnsi="Calibri" w:cs="Calibri"/>
          <w:sz w:val="20"/>
          <w:szCs w:val="20"/>
        </w:rPr>
        <w:t>Wyniki I półrocza 2025 r. to nie tylko liczby – to także tło dla jednej z najważniejszych zmian w historii polskiego rynku leasingowego. 13 lipca</w:t>
      </w:r>
      <w:r>
        <w:rPr>
          <w:rFonts w:ascii="Calibri" w:hAnsi="Calibri" w:cs="Calibri"/>
          <w:sz w:val="20"/>
          <w:szCs w:val="20"/>
        </w:rPr>
        <w:t xml:space="preserve"> tego roku</w:t>
      </w:r>
      <w:r w:rsidRPr="002951E3">
        <w:rPr>
          <w:rFonts w:ascii="Calibri" w:hAnsi="Calibri" w:cs="Calibri"/>
          <w:sz w:val="20"/>
          <w:szCs w:val="20"/>
        </w:rPr>
        <w:t xml:space="preserve"> weszła w życie nowelizacja Kodeksu cywilnego, która umożliwia zawieranie umów leasingu w formie dokumentowej, czyli w pełni zdalnie. To przełomowy moment – po 25 latach leasing przestaje być umową wymagającą formy pisemnej pod rygorem nieważności.</w:t>
      </w:r>
    </w:p>
    <w:p w14:paraId="5CC7A99F" w14:textId="77777777" w:rsidR="008B319C" w:rsidRDefault="008B319C" w:rsidP="008B319C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2951E3">
        <w:rPr>
          <w:rFonts w:ascii="Calibri" w:hAnsi="Calibri" w:cs="Calibri"/>
          <w:sz w:val="20"/>
          <w:szCs w:val="20"/>
        </w:rPr>
        <w:t>Od teraz przedsiębiorcy mogą podpisywać umowy leasingowe zdalnie – przez e-mail, SMS czy kliknięcie w aplikacji – bez drukowania dokumentów, spotkań osobistych i bez konieczności użycia podpisu kwalifikowanego. Nowelizacja obejmuje również aneksy, zgody i zmiany warunków, upraszczając codzienną obsługę klientów</w:t>
      </w:r>
      <w:r>
        <w:rPr>
          <w:rFonts w:ascii="Calibri" w:hAnsi="Calibri" w:cs="Calibri"/>
          <w:sz w:val="20"/>
          <w:szCs w:val="20"/>
        </w:rPr>
        <w:t>.</w:t>
      </w:r>
    </w:p>
    <w:p w14:paraId="72C32A0D" w14:textId="77777777" w:rsidR="008B319C" w:rsidRDefault="008B319C" w:rsidP="008B319C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Pr="002951E3">
        <w:rPr>
          <w:rFonts w:ascii="Calibri" w:hAnsi="Calibri" w:cs="Calibri"/>
          <w:i/>
          <w:iCs/>
          <w:sz w:val="20"/>
          <w:szCs w:val="20"/>
        </w:rPr>
        <w:t>To rozwiązanie, o które Związek Polskiego Leasingu zabiegał od lat. Jest ono efektem wspólnej pracy z Ministerstwem Rozwoju i Technologii nad zwiększeniem cyfrowych możliwości polskich firm. Branża leasingowa wkracza oficjalnie w erę e-leasingu – z korzyścią dla ponad miliona aktywnych klientów i z realnym wpływem na poprawę efektywności i konkurencyjności całego rynku</w:t>
      </w:r>
      <w:r>
        <w:rPr>
          <w:rFonts w:ascii="Calibri" w:hAnsi="Calibri" w:cs="Calibri"/>
          <w:sz w:val="20"/>
          <w:szCs w:val="20"/>
        </w:rPr>
        <w:t xml:space="preserve"> – mówi </w:t>
      </w:r>
      <w:r w:rsidRPr="00080F9A">
        <w:rPr>
          <w:rFonts w:ascii="Calibri" w:hAnsi="Calibri" w:cs="Calibri"/>
          <w:b/>
          <w:bCs/>
          <w:sz w:val="20"/>
          <w:szCs w:val="20"/>
        </w:rPr>
        <w:t>Monika Constant</w:t>
      </w:r>
      <w:r>
        <w:rPr>
          <w:rFonts w:ascii="Calibri" w:hAnsi="Calibri" w:cs="Calibri"/>
          <w:b/>
          <w:bCs/>
          <w:sz w:val="20"/>
          <w:szCs w:val="20"/>
        </w:rPr>
        <w:t>.</w:t>
      </w:r>
    </w:p>
    <w:p w14:paraId="44312723" w14:textId="77777777" w:rsidR="008B319C" w:rsidRPr="00B54042" w:rsidRDefault="008B319C" w:rsidP="008B319C">
      <w:pPr>
        <w:spacing w:before="240" w:after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B81A10">
        <w:rPr>
          <w:rFonts w:ascii="Calibri" w:hAnsi="Calibri" w:cs="Calibri"/>
          <w:b/>
          <w:bCs/>
          <w:sz w:val="20"/>
          <w:szCs w:val="20"/>
        </w:rPr>
        <w:t>Dekarbonizacja flot – kolejny priorytet branży</w:t>
      </w:r>
    </w:p>
    <w:p w14:paraId="2CB751A4" w14:textId="77777777" w:rsidR="008B319C" w:rsidRDefault="008B319C" w:rsidP="008B319C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3563F2">
        <w:rPr>
          <w:rFonts w:ascii="Calibri" w:hAnsi="Calibri" w:cs="Calibri"/>
          <w:sz w:val="20"/>
          <w:szCs w:val="20"/>
        </w:rPr>
        <w:t>Branża leasingowa aktywnie włącza się w europejski dialog na temat dekarbonizacji flot korporacyjnych. Wspólnie z</w:t>
      </w:r>
      <w:r w:rsidRPr="00B54042">
        <w:rPr>
          <w:rFonts w:ascii="Calibri" w:hAnsi="Calibri" w:cs="Calibri"/>
          <w:sz w:val="20"/>
          <w:szCs w:val="20"/>
        </w:rPr>
        <w:t xml:space="preserve"> </w:t>
      </w:r>
      <w:r w:rsidRPr="00B81A10">
        <w:rPr>
          <w:rFonts w:ascii="Calibri" w:hAnsi="Calibri" w:cs="Calibri"/>
          <w:sz w:val="20"/>
          <w:szCs w:val="20"/>
        </w:rPr>
        <w:t>Polskim Związkiem Wynajmu i Leasingu Pojazdów</w:t>
      </w:r>
      <w:r w:rsidRPr="003563F2">
        <w:rPr>
          <w:rFonts w:ascii="Calibri" w:hAnsi="Calibri" w:cs="Calibri"/>
          <w:sz w:val="20"/>
          <w:szCs w:val="20"/>
        </w:rPr>
        <w:t xml:space="preserve"> </w:t>
      </w:r>
      <w:r w:rsidRPr="00B54042">
        <w:rPr>
          <w:rFonts w:ascii="Calibri" w:hAnsi="Calibri" w:cs="Calibri"/>
          <w:sz w:val="20"/>
          <w:szCs w:val="20"/>
        </w:rPr>
        <w:t>(</w:t>
      </w:r>
      <w:r w:rsidRPr="003563F2">
        <w:rPr>
          <w:rFonts w:ascii="Calibri" w:hAnsi="Calibri" w:cs="Calibri"/>
          <w:sz w:val="20"/>
          <w:szCs w:val="20"/>
        </w:rPr>
        <w:t>PZWLP</w:t>
      </w:r>
      <w:r w:rsidRPr="00B54042">
        <w:rPr>
          <w:rFonts w:ascii="Calibri" w:hAnsi="Calibri" w:cs="Calibri"/>
          <w:sz w:val="20"/>
          <w:szCs w:val="20"/>
        </w:rPr>
        <w:t>)</w:t>
      </w:r>
      <w:r w:rsidRPr="003563F2">
        <w:rPr>
          <w:rFonts w:ascii="Calibri" w:hAnsi="Calibri" w:cs="Calibri"/>
          <w:sz w:val="20"/>
          <w:szCs w:val="20"/>
        </w:rPr>
        <w:t>, Związek Polskiego Leasingu przedstawił stanowisko w odpowiedzi na Komunikat Komisji Europejskiej z marca 2025 r.</w:t>
      </w:r>
      <w:r w:rsidRPr="00B54042">
        <w:rPr>
          <w:rFonts w:ascii="Calibri" w:hAnsi="Calibri" w:cs="Calibri"/>
          <w:sz w:val="20"/>
          <w:szCs w:val="20"/>
        </w:rPr>
        <w:t xml:space="preserve"> na ten temat. </w:t>
      </w:r>
    </w:p>
    <w:p w14:paraId="0FC3D7F3" w14:textId="77777777" w:rsidR="008B319C" w:rsidRDefault="008B319C" w:rsidP="008B319C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B54042">
        <w:rPr>
          <w:rFonts w:ascii="Calibri" w:hAnsi="Calibri" w:cs="Calibri"/>
          <w:sz w:val="20"/>
          <w:szCs w:val="20"/>
        </w:rPr>
        <w:t xml:space="preserve">- </w:t>
      </w:r>
      <w:r w:rsidRPr="00B81A10">
        <w:rPr>
          <w:rFonts w:ascii="Calibri" w:hAnsi="Calibri" w:cs="Calibri"/>
          <w:i/>
          <w:iCs/>
          <w:sz w:val="20"/>
          <w:szCs w:val="20"/>
        </w:rPr>
        <w:t xml:space="preserve">Firmy leasingowe i wynajmu są naturalnym partnerem w procesie transformacji flot – zarówno dużych korporacji, jak i sektora MŚP czy mikroprzedsiębiorców. Floty finansowane w drodze leasingu i wynajmu stanowią </w:t>
      </w:r>
      <w:r w:rsidRPr="00B81A10">
        <w:rPr>
          <w:rFonts w:ascii="Calibri" w:hAnsi="Calibri" w:cs="Calibri"/>
          <w:i/>
          <w:iCs/>
          <w:sz w:val="20"/>
          <w:szCs w:val="20"/>
        </w:rPr>
        <w:lastRenderedPageBreak/>
        <w:t>znaczną część flot korporacyjnych. Branża odgrywa</w:t>
      </w:r>
      <w:r w:rsidRPr="00B54042">
        <w:rPr>
          <w:rFonts w:ascii="Calibri" w:hAnsi="Calibri" w:cs="Calibri"/>
          <w:i/>
          <w:iCs/>
          <w:sz w:val="20"/>
          <w:szCs w:val="20"/>
        </w:rPr>
        <w:t xml:space="preserve"> zatem</w:t>
      </w:r>
      <w:r w:rsidRPr="00B81A10">
        <w:rPr>
          <w:rFonts w:ascii="Calibri" w:hAnsi="Calibri" w:cs="Calibri"/>
          <w:i/>
          <w:iCs/>
          <w:sz w:val="20"/>
          <w:szCs w:val="20"/>
        </w:rPr>
        <w:t xml:space="preserve"> kluczową rolę w promowaniu i wdrażaniu pojazdów niskoemisyjnych</w:t>
      </w:r>
      <w:r w:rsidRPr="00B54042">
        <w:rPr>
          <w:rFonts w:ascii="Calibri" w:hAnsi="Calibri" w:cs="Calibri"/>
          <w:i/>
          <w:iCs/>
          <w:sz w:val="20"/>
          <w:szCs w:val="20"/>
        </w:rPr>
        <w:t xml:space="preserve"> i zeroemisyjnych. S</w:t>
      </w:r>
      <w:r w:rsidRPr="00B81A10">
        <w:rPr>
          <w:rFonts w:ascii="Calibri" w:hAnsi="Calibri" w:cs="Calibri"/>
          <w:i/>
          <w:iCs/>
          <w:sz w:val="20"/>
          <w:szCs w:val="20"/>
        </w:rPr>
        <w:t>kuteczna dekarbonizacja flot wymaga</w:t>
      </w:r>
      <w:r w:rsidRPr="00B54042">
        <w:rPr>
          <w:rFonts w:ascii="Calibri" w:hAnsi="Calibri" w:cs="Calibri"/>
          <w:i/>
          <w:iCs/>
          <w:sz w:val="20"/>
          <w:szCs w:val="20"/>
        </w:rPr>
        <w:t xml:space="preserve"> jednak</w:t>
      </w:r>
      <w:r w:rsidRPr="00B81A10">
        <w:rPr>
          <w:rFonts w:ascii="Calibri" w:hAnsi="Calibri" w:cs="Calibri"/>
          <w:i/>
          <w:iCs/>
          <w:sz w:val="20"/>
          <w:szCs w:val="20"/>
        </w:rPr>
        <w:t xml:space="preserve"> elastycznego podejścia regulacyjnego oraz uwzględnienia specyfiki rynku – zwłaszcza w zakresie dostępności pojazdów, struktury klientów oraz tempa zmian technologicznych</w:t>
      </w:r>
      <w:r w:rsidRPr="00B54042">
        <w:rPr>
          <w:rFonts w:ascii="Calibri" w:hAnsi="Calibri" w:cs="Calibri"/>
          <w:i/>
          <w:iCs/>
          <w:sz w:val="20"/>
          <w:szCs w:val="20"/>
        </w:rPr>
        <w:t>. Ważne podkreślenia jest także to, że to klient decyduje o wyborze auta, a nie firma leasingowa czy najmu</w:t>
      </w:r>
      <w:r w:rsidRPr="00B54042">
        <w:rPr>
          <w:rFonts w:ascii="Calibri" w:hAnsi="Calibri" w:cs="Calibri"/>
          <w:sz w:val="20"/>
          <w:szCs w:val="20"/>
        </w:rPr>
        <w:t xml:space="preserve"> – mówi </w:t>
      </w:r>
      <w:r w:rsidRPr="00B54042">
        <w:rPr>
          <w:rFonts w:ascii="Calibri" w:hAnsi="Calibri" w:cs="Calibri"/>
          <w:b/>
          <w:bCs/>
          <w:sz w:val="20"/>
          <w:szCs w:val="20"/>
        </w:rPr>
        <w:t>Monika Constant,</w:t>
      </w:r>
      <w:r w:rsidRPr="00B54042">
        <w:rPr>
          <w:rFonts w:ascii="Calibri" w:hAnsi="Calibri" w:cs="Calibri"/>
          <w:sz w:val="20"/>
          <w:szCs w:val="20"/>
        </w:rPr>
        <w:t xml:space="preserve"> prezeska ZPL.</w:t>
      </w:r>
    </w:p>
    <w:p w14:paraId="674030CF" w14:textId="77777777" w:rsidR="008B319C" w:rsidRPr="00D4219A" w:rsidRDefault="008B319C" w:rsidP="008B319C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B54042">
        <w:rPr>
          <w:rFonts w:ascii="Calibri" w:hAnsi="Calibri" w:cs="Calibri"/>
          <w:sz w:val="20"/>
          <w:szCs w:val="20"/>
        </w:rPr>
        <w:t>Branża leasingu i wynajmu pojazdów w Polsce przedstawiła postulaty dotyczące dekarbonizacji flot. A są wśród nich m.in.</w:t>
      </w:r>
    </w:p>
    <w:p w14:paraId="249D637F" w14:textId="77777777" w:rsidR="008B319C" w:rsidRPr="007E07D2" w:rsidRDefault="008B319C" w:rsidP="008B319C">
      <w:pPr>
        <w:pStyle w:val="Akapitzlist"/>
        <w:numPr>
          <w:ilvl w:val="0"/>
          <w:numId w:val="22"/>
        </w:num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7E07D2">
        <w:rPr>
          <w:rFonts w:ascii="Calibri" w:hAnsi="Calibri" w:cs="Calibri"/>
          <w:b/>
          <w:bCs/>
          <w:sz w:val="20"/>
          <w:szCs w:val="20"/>
        </w:rPr>
        <w:t>Stabilne, przewidywalne i wspierające regulacje</w:t>
      </w:r>
      <w:r w:rsidRPr="007E07D2">
        <w:rPr>
          <w:rFonts w:ascii="Calibri" w:hAnsi="Calibri" w:cs="Calibri"/>
          <w:sz w:val="20"/>
          <w:szCs w:val="20"/>
        </w:rPr>
        <w:t xml:space="preserve"> – bez sztywnych, odgórnych celów udziału zeroemisyjnych pojazdów we flotach w</w:t>
      </w:r>
      <w:r>
        <w:rPr>
          <w:rFonts w:ascii="Calibri" w:hAnsi="Calibri" w:cs="Calibri"/>
          <w:sz w:val="20"/>
          <w:szCs w:val="20"/>
        </w:rPr>
        <w:t xml:space="preserve"> </w:t>
      </w:r>
      <w:r w:rsidRPr="007E07D2">
        <w:rPr>
          <w:rFonts w:ascii="Calibri" w:hAnsi="Calibri" w:cs="Calibri"/>
          <w:sz w:val="20"/>
          <w:szCs w:val="20"/>
        </w:rPr>
        <w:t>stabilnym otoczeniu prawno-podatkowe</w:t>
      </w:r>
    </w:p>
    <w:p w14:paraId="44FEC100" w14:textId="77777777" w:rsidR="008B319C" w:rsidRPr="007E07D2" w:rsidRDefault="008B319C" w:rsidP="008B319C">
      <w:pPr>
        <w:pStyle w:val="Akapitzlist"/>
        <w:numPr>
          <w:ilvl w:val="0"/>
          <w:numId w:val="22"/>
        </w:num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7E07D2">
        <w:rPr>
          <w:rFonts w:ascii="Calibri" w:hAnsi="Calibri" w:cs="Calibri"/>
          <w:b/>
          <w:bCs/>
          <w:sz w:val="20"/>
          <w:szCs w:val="20"/>
        </w:rPr>
        <w:t>Wzmocnienie systemu zachęt</w:t>
      </w:r>
      <w:r w:rsidRPr="007E07D2">
        <w:rPr>
          <w:rFonts w:ascii="Calibri" w:hAnsi="Calibri" w:cs="Calibri"/>
          <w:sz w:val="20"/>
          <w:szCs w:val="20"/>
        </w:rPr>
        <w:t xml:space="preserve"> - dopłaty i ulgi dla samochodów elektrycznych także w leasingu i wynajmie oraz wsparcie rynku wtórnego aut zeroemisyjnych</w:t>
      </w:r>
    </w:p>
    <w:p w14:paraId="7C3EE9E0" w14:textId="77777777" w:rsidR="008B319C" w:rsidRPr="007E07D2" w:rsidRDefault="008B319C" w:rsidP="008B319C">
      <w:pPr>
        <w:pStyle w:val="Akapitzlist"/>
        <w:numPr>
          <w:ilvl w:val="0"/>
          <w:numId w:val="22"/>
        </w:num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7E07D2">
        <w:rPr>
          <w:rFonts w:ascii="Calibri" w:hAnsi="Calibri" w:cs="Calibri"/>
          <w:b/>
          <w:bCs/>
          <w:sz w:val="20"/>
          <w:szCs w:val="20"/>
        </w:rPr>
        <w:t>Rozwój infrastruktury ładowania</w:t>
      </w:r>
      <w:r w:rsidRPr="007E07D2">
        <w:rPr>
          <w:rFonts w:ascii="Calibri" w:hAnsi="Calibri" w:cs="Calibri"/>
          <w:sz w:val="20"/>
          <w:szCs w:val="20"/>
        </w:rPr>
        <w:t xml:space="preserve"> - inwestycje publiczne oraz nowelizacja ustawy o elektromobilności, umożliwiająca łatwe instalowanie ładowarek w budynkach wielorodzinnych.</w:t>
      </w:r>
    </w:p>
    <w:p w14:paraId="149F1E27" w14:textId="77777777" w:rsidR="008B319C" w:rsidRPr="007E07D2" w:rsidRDefault="008B319C" w:rsidP="008B319C">
      <w:pPr>
        <w:pStyle w:val="Akapitzlist"/>
        <w:numPr>
          <w:ilvl w:val="0"/>
          <w:numId w:val="22"/>
        </w:num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7E07D2">
        <w:rPr>
          <w:rFonts w:ascii="Calibri" w:hAnsi="Calibri" w:cs="Calibri"/>
          <w:b/>
          <w:bCs/>
          <w:sz w:val="20"/>
          <w:szCs w:val="20"/>
        </w:rPr>
        <w:t>Edukacja i technologie przejściowe</w:t>
      </w:r>
      <w:r w:rsidRPr="007E07D2">
        <w:rPr>
          <w:rFonts w:ascii="Calibri" w:hAnsi="Calibri" w:cs="Calibri"/>
          <w:sz w:val="20"/>
          <w:szCs w:val="20"/>
        </w:rPr>
        <w:t xml:space="preserve"> - kampanie informacyjne na temat aut zeroemisyjnych i docenienie rozwiązań przejściowych (HEV, PHEV), szczególnie w regionach z ograniczoną infrastrukturą.</w:t>
      </w:r>
    </w:p>
    <w:p w14:paraId="375487AC" w14:textId="77777777" w:rsidR="008B319C" w:rsidRDefault="008B319C" w:rsidP="008B319C">
      <w:pPr>
        <w:pBdr>
          <w:bottom w:val="single" w:sz="4" w:space="31" w:color="auto"/>
        </w:pBd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B54042">
        <w:rPr>
          <w:rFonts w:ascii="Calibri" w:hAnsi="Calibri" w:cs="Calibri"/>
          <w:sz w:val="20"/>
          <w:szCs w:val="20"/>
        </w:rPr>
        <w:t xml:space="preserve">- </w:t>
      </w:r>
      <w:r w:rsidRPr="00B54042">
        <w:rPr>
          <w:rFonts w:ascii="Calibri" w:hAnsi="Calibri" w:cs="Calibri"/>
          <w:i/>
          <w:iCs/>
          <w:sz w:val="20"/>
          <w:szCs w:val="20"/>
        </w:rPr>
        <w:t>Realizacja ambitnych celów klimatycznych musi iść w parze z praktycznym wsparciem, rozwiniętą infrastrukturą i stabilnym prawem. W przeciwnym razie transformacja flot stanie się nieefektywna i nieakceptowalna społecznie</w:t>
      </w:r>
      <w:r w:rsidRPr="00B54042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– dodaje </w:t>
      </w:r>
      <w:r w:rsidRPr="00B54042">
        <w:rPr>
          <w:rFonts w:ascii="Calibri" w:hAnsi="Calibri" w:cs="Calibri"/>
          <w:b/>
          <w:bCs/>
          <w:sz w:val="20"/>
          <w:szCs w:val="20"/>
        </w:rPr>
        <w:t>Monika Constant</w:t>
      </w:r>
      <w:r>
        <w:rPr>
          <w:rFonts w:ascii="Calibri" w:hAnsi="Calibri" w:cs="Calibri"/>
          <w:sz w:val="20"/>
          <w:szCs w:val="20"/>
        </w:rPr>
        <w:t xml:space="preserve">. </w:t>
      </w:r>
    </w:p>
    <w:p w14:paraId="40E5B297" w14:textId="77777777" w:rsidR="008B319C" w:rsidRPr="00B10084" w:rsidRDefault="008B319C" w:rsidP="008B319C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7013448" w14:textId="77777777" w:rsidR="008B319C" w:rsidRPr="00B10084" w:rsidRDefault="008B319C" w:rsidP="008B319C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4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% </w:t>
      </w:r>
      <w:r w:rsidRPr="00B10084">
        <w:rPr>
          <w:rFonts w:cstheme="minorHAnsi"/>
          <w:sz w:val="16"/>
          <w:szCs w:val="16"/>
          <w:shd w:val="clear" w:color="auto" w:fill="FFFFFF"/>
        </w:rPr>
        <w:t>sektora: 3</w:t>
      </w:r>
      <w:r>
        <w:rPr>
          <w:rFonts w:cstheme="minorHAnsi"/>
          <w:sz w:val="16"/>
          <w:szCs w:val="16"/>
          <w:shd w:val="clear" w:color="auto" w:fill="FFFFFF"/>
        </w:rPr>
        <w:t>3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</w:t>
      </w:r>
      <w:r>
        <w:rPr>
          <w:rFonts w:cstheme="minorHAnsi"/>
          <w:sz w:val="16"/>
          <w:szCs w:val="16"/>
          <w:shd w:val="clear" w:color="auto" w:fill="FFFFFF"/>
        </w:rPr>
        <w:t>y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leasingow</w:t>
      </w:r>
      <w:r>
        <w:rPr>
          <w:rFonts w:cstheme="minorHAnsi"/>
          <w:sz w:val="16"/>
          <w:szCs w:val="16"/>
          <w:shd w:val="clear" w:color="auto" w:fill="FFFFFF"/>
        </w:rPr>
        <w:t>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organizacji,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143F7770" w14:textId="77777777" w:rsidR="008B319C" w:rsidRPr="00B10084" w:rsidRDefault="008B319C" w:rsidP="008B319C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Default="008B319C" w:rsidP="008B319C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1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2952D40" w14:textId="77777777" w:rsidR="008B319C" w:rsidRPr="00B10084" w:rsidRDefault="008B319C" w:rsidP="008B319C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0FF5DEC6" w14:textId="77777777" w:rsidR="008B319C" w:rsidRPr="00B10084" w:rsidRDefault="008B319C" w:rsidP="008B319C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B10084" w:rsidRDefault="008B319C" w:rsidP="008B319C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FE1A5E" w:rsidRDefault="008B319C" w:rsidP="008B319C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r w:rsidRPr="00FE1A5E">
        <w:rPr>
          <w:rFonts w:cstheme="minorHAnsi"/>
          <w:sz w:val="18"/>
          <w:szCs w:val="18"/>
          <w:lang w:val="de-DE"/>
        </w:rPr>
        <w:t xml:space="preserve">e-mail: katarzyna.ostrowska@leasing.org.pl </w:t>
      </w:r>
    </w:p>
    <w:p w14:paraId="73589F1E" w14:textId="77777777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C97560" w:rsidRDefault="008B319C" w:rsidP="008B319C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FE1A5E" w:rsidRDefault="008B319C" w:rsidP="008B319C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 w:rsidR="00FE1A5E"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8B319C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4"/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4F4588"/>
    <w:sectPr w:rsidR="008B319C" w:rsidRPr="004F4588" w:rsidSect="00684E74">
      <w:headerReference w:type="default" r:id="rId16"/>
      <w:footerReference w:type="default" r:id="rId17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2D7E7" w14:textId="77777777" w:rsidR="008F2132" w:rsidRDefault="008F2132" w:rsidP="00C64445">
      <w:r>
        <w:separator/>
      </w:r>
    </w:p>
  </w:endnote>
  <w:endnote w:type="continuationSeparator" w:id="0">
    <w:p w14:paraId="65942612" w14:textId="77777777" w:rsidR="008F2132" w:rsidRDefault="008F2132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DB6F4" w14:textId="77777777" w:rsidR="008F2132" w:rsidRDefault="008F2132" w:rsidP="00C64445">
      <w:r>
        <w:separator/>
      </w:r>
    </w:p>
  </w:footnote>
  <w:footnote w:type="continuationSeparator" w:id="0">
    <w:p w14:paraId="2BB75674" w14:textId="77777777" w:rsidR="008F2132" w:rsidRDefault="008F2132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1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18"/>
  </w:num>
  <w:num w:numId="4" w16cid:durableId="663321470">
    <w:abstractNumId w:val="20"/>
  </w:num>
  <w:num w:numId="5" w16cid:durableId="162018194">
    <w:abstractNumId w:val="2"/>
  </w:num>
  <w:num w:numId="6" w16cid:durableId="64644634">
    <w:abstractNumId w:val="8"/>
  </w:num>
  <w:num w:numId="7" w16cid:durableId="2027907007">
    <w:abstractNumId w:val="16"/>
  </w:num>
  <w:num w:numId="8" w16cid:durableId="471412180">
    <w:abstractNumId w:val="7"/>
  </w:num>
  <w:num w:numId="9" w16cid:durableId="980813205">
    <w:abstractNumId w:val="0"/>
  </w:num>
  <w:num w:numId="10" w16cid:durableId="793132770">
    <w:abstractNumId w:val="5"/>
  </w:num>
  <w:num w:numId="11" w16cid:durableId="1086851412">
    <w:abstractNumId w:val="12"/>
  </w:num>
  <w:num w:numId="12" w16cid:durableId="1174303547">
    <w:abstractNumId w:val="3"/>
  </w:num>
  <w:num w:numId="13" w16cid:durableId="2100129948">
    <w:abstractNumId w:val="19"/>
  </w:num>
  <w:num w:numId="14" w16cid:durableId="1563324192">
    <w:abstractNumId w:val="15"/>
  </w:num>
  <w:num w:numId="15" w16cid:durableId="705569770">
    <w:abstractNumId w:val="17"/>
  </w:num>
  <w:num w:numId="16" w16cid:durableId="111291106">
    <w:abstractNumId w:val="4"/>
  </w:num>
  <w:num w:numId="17" w16cid:durableId="1952204828">
    <w:abstractNumId w:val="14"/>
  </w:num>
  <w:num w:numId="18" w16cid:durableId="467361020">
    <w:abstractNumId w:val="10"/>
  </w:num>
  <w:num w:numId="19" w16cid:durableId="1832141202">
    <w:abstractNumId w:val="13"/>
  </w:num>
  <w:num w:numId="20" w16cid:durableId="1039624216">
    <w:abstractNumId w:val="6"/>
  </w:num>
  <w:num w:numId="21" w16cid:durableId="659163590">
    <w:abstractNumId w:val="9"/>
  </w:num>
  <w:num w:numId="22" w16cid:durableId="21100064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765A"/>
    <w:rsid w:val="0002000A"/>
    <w:rsid w:val="0002341D"/>
    <w:rsid w:val="00026258"/>
    <w:rsid w:val="00026267"/>
    <w:rsid w:val="000270DE"/>
    <w:rsid w:val="00030CBE"/>
    <w:rsid w:val="000378A7"/>
    <w:rsid w:val="00040A75"/>
    <w:rsid w:val="000426F8"/>
    <w:rsid w:val="00043408"/>
    <w:rsid w:val="00045B7F"/>
    <w:rsid w:val="0005239B"/>
    <w:rsid w:val="00060AAA"/>
    <w:rsid w:val="00062F1F"/>
    <w:rsid w:val="00070A65"/>
    <w:rsid w:val="00074185"/>
    <w:rsid w:val="00075D79"/>
    <w:rsid w:val="00080F9A"/>
    <w:rsid w:val="0008695F"/>
    <w:rsid w:val="00087C5A"/>
    <w:rsid w:val="00091456"/>
    <w:rsid w:val="000A145A"/>
    <w:rsid w:val="000B2597"/>
    <w:rsid w:val="000B42C8"/>
    <w:rsid w:val="000B5BB8"/>
    <w:rsid w:val="000C1967"/>
    <w:rsid w:val="000C430A"/>
    <w:rsid w:val="000D295A"/>
    <w:rsid w:val="000D734F"/>
    <w:rsid w:val="000E3F2C"/>
    <w:rsid w:val="000E4EC0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22775"/>
    <w:rsid w:val="001230CD"/>
    <w:rsid w:val="00124778"/>
    <w:rsid w:val="001253A1"/>
    <w:rsid w:val="00127BEE"/>
    <w:rsid w:val="00131D75"/>
    <w:rsid w:val="00133576"/>
    <w:rsid w:val="00141CAA"/>
    <w:rsid w:val="0014353F"/>
    <w:rsid w:val="00144EE1"/>
    <w:rsid w:val="00145459"/>
    <w:rsid w:val="00152DE2"/>
    <w:rsid w:val="0015561F"/>
    <w:rsid w:val="00155F5D"/>
    <w:rsid w:val="00157180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A06B9"/>
    <w:rsid w:val="001A4918"/>
    <w:rsid w:val="001A5150"/>
    <w:rsid w:val="001A6855"/>
    <w:rsid w:val="001A7D3A"/>
    <w:rsid w:val="001B0556"/>
    <w:rsid w:val="001B1BD1"/>
    <w:rsid w:val="001C02E9"/>
    <w:rsid w:val="001C2893"/>
    <w:rsid w:val="001D26CA"/>
    <w:rsid w:val="001D432B"/>
    <w:rsid w:val="001D46CD"/>
    <w:rsid w:val="001D6F0C"/>
    <w:rsid w:val="001F250F"/>
    <w:rsid w:val="001F2866"/>
    <w:rsid w:val="001F41AE"/>
    <w:rsid w:val="001F7E64"/>
    <w:rsid w:val="002056E9"/>
    <w:rsid w:val="00212802"/>
    <w:rsid w:val="00214B24"/>
    <w:rsid w:val="0022388D"/>
    <w:rsid w:val="0022460D"/>
    <w:rsid w:val="002267A3"/>
    <w:rsid w:val="00232A86"/>
    <w:rsid w:val="00234973"/>
    <w:rsid w:val="00240195"/>
    <w:rsid w:val="00244973"/>
    <w:rsid w:val="00246C6F"/>
    <w:rsid w:val="0025147D"/>
    <w:rsid w:val="00254A49"/>
    <w:rsid w:val="002555B6"/>
    <w:rsid w:val="0026034E"/>
    <w:rsid w:val="0026188F"/>
    <w:rsid w:val="002663A2"/>
    <w:rsid w:val="0026795E"/>
    <w:rsid w:val="002733C7"/>
    <w:rsid w:val="0027542A"/>
    <w:rsid w:val="00277A38"/>
    <w:rsid w:val="002850D6"/>
    <w:rsid w:val="00292949"/>
    <w:rsid w:val="00292C1B"/>
    <w:rsid w:val="002951E3"/>
    <w:rsid w:val="00295E2E"/>
    <w:rsid w:val="00297079"/>
    <w:rsid w:val="002A12B0"/>
    <w:rsid w:val="002A359B"/>
    <w:rsid w:val="002A4F17"/>
    <w:rsid w:val="002B6EFC"/>
    <w:rsid w:val="002C2302"/>
    <w:rsid w:val="002C7453"/>
    <w:rsid w:val="002D134A"/>
    <w:rsid w:val="002D1D18"/>
    <w:rsid w:val="002D5E88"/>
    <w:rsid w:val="002D6FAD"/>
    <w:rsid w:val="002E0CDC"/>
    <w:rsid w:val="002E460E"/>
    <w:rsid w:val="002E5331"/>
    <w:rsid w:val="002F15BD"/>
    <w:rsid w:val="002F5B77"/>
    <w:rsid w:val="002F5D61"/>
    <w:rsid w:val="00302FCE"/>
    <w:rsid w:val="00312863"/>
    <w:rsid w:val="00314258"/>
    <w:rsid w:val="00315F53"/>
    <w:rsid w:val="003214C3"/>
    <w:rsid w:val="00323759"/>
    <w:rsid w:val="00324735"/>
    <w:rsid w:val="0032528B"/>
    <w:rsid w:val="003266DF"/>
    <w:rsid w:val="00331675"/>
    <w:rsid w:val="00333A1E"/>
    <w:rsid w:val="00333E20"/>
    <w:rsid w:val="00344DAC"/>
    <w:rsid w:val="00346494"/>
    <w:rsid w:val="00351CD6"/>
    <w:rsid w:val="0035563D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91B3D"/>
    <w:rsid w:val="003921F7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E27D4"/>
    <w:rsid w:val="003E6DA1"/>
    <w:rsid w:val="003E6FCE"/>
    <w:rsid w:val="003F19FE"/>
    <w:rsid w:val="003F330C"/>
    <w:rsid w:val="003F578D"/>
    <w:rsid w:val="003F76C1"/>
    <w:rsid w:val="004010E2"/>
    <w:rsid w:val="0040246D"/>
    <w:rsid w:val="00406D43"/>
    <w:rsid w:val="0040767D"/>
    <w:rsid w:val="0041741F"/>
    <w:rsid w:val="00425870"/>
    <w:rsid w:val="004264AB"/>
    <w:rsid w:val="00430485"/>
    <w:rsid w:val="004354F3"/>
    <w:rsid w:val="00436812"/>
    <w:rsid w:val="00442B70"/>
    <w:rsid w:val="00451821"/>
    <w:rsid w:val="00451868"/>
    <w:rsid w:val="00461B13"/>
    <w:rsid w:val="0046442C"/>
    <w:rsid w:val="00466719"/>
    <w:rsid w:val="004729B0"/>
    <w:rsid w:val="004744E0"/>
    <w:rsid w:val="00475945"/>
    <w:rsid w:val="0048231F"/>
    <w:rsid w:val="004846DD"/>
    <w:rsid w:val="00484F1D"/>
    <w:rsid w:val="00486FEE"/>
    <w:rsid w:val="004B438B"/>
    <w:rsid w:val="004B4417"/>
    <w:rsid w:val="004C0587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F420F"/>
    <w:rsid w:val="004F4588"/>
    <w:rsid w:val="004F6CF3"/>
    <w:rsid w:val="00507647"/>
    <w:rsid w:val="00510ACB"/>
    <w:rsid w:val="00520C4B"/>
    <w:rsid w:val="00525BA2"/>
    <w:rsid w:val="005360E6"/>
    <w:rsid w:val="005400DC"/>
    <w:rsid w:val="0054694C"/>
    <w:rsid w:val="00547D16"/>
    <w:rsid w:val="005549D9"/>
    <w:rsid w:val="00556E29"/>
    <w:rsid w:val="00557BA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7DCB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4120"/>
    <w:rsid w:val="005E4DB0"/>
    <w:rsid w:val="005F075A"/>
    <w:rsid w:val="005F2E6D"/>
    <w:rsid w:val="005F3FD4"/>
    <w:rsid w:val="005F7BAE"/>
    <w:rsid w:val="0061396D"/>
    <w:rsid w:val="0061555F"/>
    <w:rsid w:val="00623464"/>
    <w:rsid w:val="00625AD9"/>
    <w:rsid w:val="0063277D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4F20"/>
    <w:rsid w:val="00673CAB"/>
    <w:rsid w:val="00673F17"/>
    <w:rsid w:val="00674C1C"/>
    <w:rsid w:val="00676325"/>
    <w:rsid w:val="00680A06"/>
    <w:rsid w:val="00683AC5"/>
    <w:rsid w:val="00684E74"/>
    <w:rsid w:val="00690163"/>
    <w:rsid w:val="00692578"/>
    <w:rsid w:val="00693171"/>
    <w:rsid w:val="0069433B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20711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6CCD"/>
    <w:rsid w:val="00777099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4575"/>
    <w:rsid w:val="007F0AD9"/>
    <w:rsid w:val="007F31C2"/>
    <w:rsid w:val="008031A6"/>
    <w:rsid w:val="008035D8"/>
    <w:rsid w:val="008077F1"/>
    <w:rsid w:val="0081108F"/>
    <w:rsid w:val="008116DD"/>
    <w:rsid w:val="00815865"/>
    <w:rsid w:val="00821E0F"/>
    <w:rsid w:val="00821E6F"/>
    <w:rsid w:val="0082539A"/>
    <w:rsid w:val="0082600F"/>
    <w:rsid w:val="008301AE"/>
    <w:rsid w:val="00831C99"/>
    <w:rsid w:val="00832EBF"/>
    <w:rsid w:val="0084396B"/>
    <w:rsid w:val="00852158"/>
    <w:rsid w:val="00855B62"/>
    <w:rsid w:val="00856EC7"/>
    <w:rsid w:val="00862633"/>
    <w:rsid w:val="008648A3"/>
    <w:rsid w:val="00864E24"/>
    <w:rsid w:val="00872E13"/>
    <w:rsid w:val="00886BB3"/>
    <w:rsid w:val="00890AE9"/>
    <w:rsid w:val="00891E89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F0B37"/>
    <w:rsid w:val="008F1EC6"/>
    <w:rsid w:val="008F2132"/>
    <w:rsid w:val="008F52B3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2672B"/>
    <w:rsid w:val="009456F5"/>
    <w:rsid w:val="00953BBF"/>
    <w:rsid w:val="00955C69"/>
    <w:rsid w:val="00955EA8"/>
    <w:rsid w:val="00960903"/>
    <w:rsid w:val="00960D76"/>
    <w:rsid w:val="00962A4D"/>
    <w:rsid w:val="00966734"/>
    <w:rsid w:val="0097187E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C33"/>
    <w:rsid w:val="009B1199"/>
    <w:rsid w:val="009B11A5"/>
    <w:rsid w:val="009B4E00"/>
    <w:rsid w:val="009B5647"/>
    <w:rsid w:val="009C1CDF"/>
    <w:rsid w:val="009C3762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1573"/>
    <w:rsid w:val="009F4F44"/>
    <w:rsid w:val="00A03F96"/>
    <w:rsid w:val="00A07089"/>
    <w:rsid w:val="00A16F8A"/>
    <w:rsid w:val="00A17AA1"/>
    <w:rsid w:val="00A21BA5"/>
    <w:rsid w:val="00A2317F"/>
    <w:rsid w:val="00A30B31"/>
    <w:rsid w:val="00A34754"/>
    <w:rsid w:val="00A40891"/>
    <w:rsid w:val="00A40A3F"/>
    <w:rsid w:val="00A419BD"/>
    <w:rsid w:val="00A43EBA"/>
    <w:rsid w:val="00A54888"/>
    <w:rsid w:val="00A66E77"/>
    <w:rsid w:val="00A67106"/>
    <w:rsid w:val="00A71322"/>
    <w:rsid w:val="00A742EE"/>
    <w:rsid w:val="00A8082C"/>
    <w:rsid w:val="00A8100E"/>
    <w:rsid w:val="00A84439"/>
    <w:rsid w:val="00A911FE"/>
    <w:rsid w:val="00A9299F"/>
    <w:rsid w:val="00A95AE3"/>
    <w:rsid w:val="00A95BD9"/>
    <w:rsid w:val="00AA1CB5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D09E9"/>
    <w:rsid w:val="00AE0AE8"/>
    <w:rsid w:val="00AE10E4"/>
    <w:rsid w:val="00AE26BA"/>
    <w:rsid w:val="00AE296E"/>
    <w:rsid w:val="00AE3AE6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348A"/>
    <w:rsid w:val="00B51A2B"/>
    <w:rsid w:val="00B54042"/>
    <w:rsid w:val="00B540BE"/>
    <w:rsid w:val="00B552A5"/>
    <w:rsid w:val="00B55308"/>
    <w:rsid w:val="00B55721"/>
    <w:rsid w:val="00B610FB"/>
    <w:rsid w:val="00B65C8A"/>
    <w:rsid w:val="00B701CB"/>
    <w:rsid w:val="00B709C8"/>
    <w:rsid w:val="00B7633F"/>
    <w:rsid w:val="00B81A10"/>
    <w:rsid w:val="00B8653E"/>
    <w:rsid w:val="00B94985"/>
    <w:rsid w:val="00BB036F"/>
    <w:rsid w:val="00BB1196"/>
    <w:rsid w:val="00BB1D17"/>
    <w:rsid w:val="00BB5B97"/>
    <w:rsid w:val="00BC1C89"/>
    <w:rsid w:val="00BD5F30"/>
    <w:rsid w:val="00BD5FF1"/>
    <w:rsid w:val="00BE1A8A"/>
    <w:rsid w:val="00BE2DDF"/>
    <w:rsid w:val="00BF5B16"/>
    <w:rsid w:val="00C0069B"/>
    <w:rsid w:val="00C022A4"/>
    <w:rsid w:val="00C02CD2"/>
    <w:rsid w:val="00C04712"/>
    <w:rsid w:val="00C10C12"/>
    <w:rsid w:val="00C14F91"/>
    <w:rsid w:val="00C166CE"/>
    <w:rsid w:val="00C210E9"/>
    <w:rsid w:val="00C24415"/>
    <w:rsid w:val="00C26061"/>
    <w:rsid w:val="00C275F6"/>
    <w:rsid w:val="00C32EE2"/>
    <w:rsid w:val="00C35E0E"/>
    <w:rsid w:val="00C44E51"/>
    <w:rsid w:val="00C47213"/>
    <w:rsid w:val="00C531A1"/>
    <w:rsid w:val="00C54BD5"/>
    <w:rsid w:val="00C55791"/>
    <w:rsid w:val="00C5795D"/>
    <w:rsid w:val="00C615AD"/>
    <w:rsid w:val="00C62411"/>
    <w:rsid w:val="00C62D20"/>
    <w:rsid w:val="00C64445"/>
    <w:rsid w:val="00C6627E"/>
    <w:rsid w:val="00C6777F"/>
    <w:rsid w:val="00C75834"/>
    <w:rsid w:val="00C81248"/>
    <w:rsid w:val="00C8275A"/>
    <w:rsid w:val="00C8407A"/>
    <w:rsid w:val="00C85AE8"/>
    <w:rsid w:val="00C94416"/>
    <w:rsid w:val="00CA30A6"/>
    <w:rsid w:val="00CB36B5"/>
    <w:rsid w:val="00CC0AF8"/>
    <w:rsid w:val="00CD267F"/>
    <w:rsid w:val="00CD4414"/>
    <w:rsid w:val="00CD71F5"/>
    <w:rsid w:val="00CD778D"/>
    <w:rsid w:val="00CE3200"/>
    <w:rsid w:val="00CE5195"/>
    <w:rsid w:val="00CE5251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4219A"/>
    <w:rsid w:val="00D427D5"/>
    <w:rsid w:val="00D43813"/>
    <w:rsid w:val="00D45001"/>
    <w:rsid w:val="00D45644"/>
    <w:rsid w:val="00D47BA5"/>
    <w:rsid w:val="00D574EB"/>
    <w:rsid w:val="00D61BC8"/>
    <w:rsid w:val="00D63A3C"/>
    <w:rsid w:val="00D63F41"/>
    <w:rsid w:val="00D6506C"/>
    <w:rsid w:val="00D655FA"/>
    <w:rsid w:val="00D74B9D"/>
    <w:rsid w:val="00D752F3"/>
    <w:rsid w:val="00D82D70"/>
    <w:rsid w:val="00D91776"/>
    <w:rsid w:val="00D91A67"/>
    <w:rsid w:val="00D92F08"/>
    <w:rsid w:val="00D97F2C"/>
    <w:rsid w:val="00DA1C4D"/>
    <w:rsid w:val="00DA1F55"/>
    <w:rsid w:val="00DA490B"/>
    <w:rsid w:val="00DA50D5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69A4"/>
    <w:rsid w:val="00E05D99"/>
    <w:rsid w:val="00E105C4"/>
    <w:rsid w:val="00E10A3F"/>
    <w:rsid w:val="00E10BA8"/>
    <w:rsid w:val="00E16F93"/>
    <w:rsid w:val="00E200FB"/>
    <w:rsid w:val="00E23318"/>
    <w:rsid w:val="00E2649F"/>
    <w:rsid w:val="00E3337A"/>
    <w:rsid w:val="00E40B44"/>
    <w:rsid w:val="00E47BE0"/>
    <w:rsid w:val="00E55A19"/>
    <w:rsid w:val="00E56688"/>
    <w:rsid w:val="00E56D50"/>
    <w:rsid w:val="00E63AFB"/>
    <w:rsid w:val="00E6407D"/>
    <w:rsid w:val="00E65D9D"/>
    <w:rsid w:val="00E720D9"/>
    <w:rsid w:val="00E7566B"/>
    <w:rsid w:val="00E76AED"/>
    <w:rsid w:val="00E84818"/>
    <w:rsid w:val="00E873EF"/>
    <w:rsid w:val="00E90745"/>
    <w:rsid w:val="00E94051"/>
    <w:rsid w:val="00E96ADD"/>
    <w:rsid w:val="00E97237"/>
    <w:rsid w:val="00EA7B17"/>
    <w:rsid w:val="00EB0EE6"/>
    <w:rsid w:val="00EB7572"/>
    <w:rsid w:val="00EC2E7C"/>
    <w:rsid w:val="00EC2F5F"/>
    <w:rsid w:val="00EC3E37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025F0"/>
    <w:rsid w:val="00F10436"/>
    <w:rsid w:val="00F14FDE"/>
    <w:rsid w:val="00F2323A"/>
    <w:rsid w:val="00F249B1"/>
    <w:rsid w:val="00F31C6E"/>
    <w:rsid w:val="00F3288B"/>
    <w:rsid w:val="00F3663A"/>
    <w:rsid w:val="00F46D10"/>
    <w:rsid w:val="00F522CD"/>
    <w:rsid w:val="00F52B20"/>
    <w:rsid w:val="00F547AE"/>
    <w:rsid w:val="00F54E67"/>
    <w:rsid w:val="00F55061"/>
    <w:rsid w:val="00F56A8C"/>
    <w:rsid w:val="00F6002B"/>
    <w:rsid w:val="00F60963"/>
    <w:rsid w:val="00F64BF2"/>
    <w:rsid w:val="00F66E00"/>
    <w:rsid w:val="00F6770D"/>
    <w:rsid w:val="00F67EED"/>
    <w:rsid w:val="00F70526"/>
    <w:rsid w:val="00F92D56"/>
    <w:rsid w:val="00F94470"/>
    <w:rsid w:val="00F97C0C"/>
    <w:rsid w:val="00FA2042"/>
    <w:rsid w:val="00FB524A"/>
    <w:rsid w:val="00FB560E"/>
    <w:rsid w:val="00FB5D97"/>
    <w:rsid w:val="00FB644E"/>
    <w:rsid w:val="00FC1A0F"/>
    <w:rsid w:val="00FC4DBA"/>
    <w:rsid w:val="00FD2632"/>
    <w:rsid w:val="00FD3141"/>
    <w:rsid w:val="00FD6FC4"/>
    <w:rsid w:val="00FE0740"/>
    <w:rsid w:val="00FE07F2"/>
    <w:rsid w:val="00FE1A5E"/>
    <w:rsid w:val="00FE40D7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zwiazek-polskiego-leasingu-z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asing.org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witter.com/ZwiazekLeasing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1580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35</cp:revision>
  <dcterms:created xsi:type="dcterms:W3CDTF">2025-08-04T13:31:00Z</dcterms:created>
  <dcterms:modified xsi:type="dcterms:W3CDTF">2025-08-06T12:27:00Z</dcterms:modified>
</cp:coreProperties>
</file>