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8676C" w14:textId="77777777" w:rsidR="00133576" w:rsidRPr="00A11DBA" w:rsidRDefault="00133576" w:rsidP="00133576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25974D09" w14:textId="622EEF98" w:rsidR="00937041" w:rsidRDefault="00937041" w:rsidP="002579E5">
      <w:pPr>
        <w:rPr>
          <w:rFonts w:cstheme="minorHAnsi"/>
          <w:b/>
          <w:bCs/>
          <w:color w:val="0070C0"/>
          <w:sz w:val="32"/>
          <w:szCs w:val="32"/>
        </w:rPr>
      </w:pPr>
      <w:r w:rsidRPr="00937041">
        <w:rPr>
          <w:rFonts w:cstheme="minorHAnsi"/>
          <w:b/>
          <w:bCs/>
          <w:color w:val="0070C0"/>
          <w:sz w:val="32"/>
          <w:szCs w:val="32"/>
        </w:rPr>
        <w:t xml:space="preserve">Polska </w:t>
      </w:r>
      <w:r w:rsidR="003217DF">
        <w:rPr>
          <w:rFonts w:cstheme="minorHAnsi"/>
          <w:b/>
          <w:bCs/>
          <w:color w:val="0070C0"/>
          <w:sz w:val="32"/>
          <w:szCs w:val="32"/>
        </w:rPr>
        <w:t xml:space="preserve">liderem </w:t>
      </w:r>
      <w:r w:rsidRPr="00937041">
        <w:rPr>
          <w:rFonts w:cstheme="minorHAnsi"/>
          <w:b/>
          <w:bCs/>
          <w:color w:val="0070C0"/>
          <w:sz w:val="32"/>
          <w:szCs w:val="32"/>
        </w:rPr>
        <w:t>Europy – leasing finansuje niemal połowę inwestycji firm!</w:t>
      </w:r>
    </w:p>
    <w:p w14:paraId="04F8F2E2" w14:textId="77777777" w:rsidR="00D37DBC" w:rsidRDefault="00D37DBC" w:rsidP="00C728C8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D8A7F06" w14:textId="2BBAF15E" w:rsidR="00D37DBC" w:rsidRPr="002B195D" w:rsidRDefault="00D37DBC" w:rsidP="00C728C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B195D">
        <w:rPr>
          <w:rFonts w:ascii="Calibri" w:hAnsi="Calibri" w:cs="Calibri"/>
          <w:b/>
          <w:bCs/>
          <w:sz w:val="28"/>
          <w:szCs w:val="28"/>
        </w:rPr>
        <w:t>Polska jest piątym co do wielkości rynkiem leasingu w Europie</w:t>
      </w:r>
    </w:p>
    <w:p w14:paraId="2537E87E" w14:textId="3DCA7B1D" w:rsidR="00D37DBC" w:rsidRPr="002B195D" w:rsidRDefault="00D37DBC" w:rsidP="00C728C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B195D">
        <w:rPr>
          <w:rFonts w:ascii="Calibri" w:hAnsi="Calibri" w:cs="Calibri"/>
          <w:b/>
          <w:bCs/>
          <w:sz w:val="28"/>
          <w:szCs w:val="28"/>
        </w:rPr>
        <w:t>44% inwestycji firm w Polsce finansowanych jest przez leasing – to najwyższy poziom w Europie</w:t>
      </w:r>
    </w:p>
    <w:p w14:paraId="6CDEDF0C" w14:textId="6206CC2F" w:rsidR="00D37DBC" w:rsidRPr="002B195D" w:rsidRDefault="00D37DBC" w:rsidP="00C728C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B195D">
        <w:rPr>
          <w:rFonts w:ascii="Calibri" w:hAnsi="Calibri" w:cs="Calibri"/>
          <w:b/>
          <w:bCs/>
          <w:sz w:val="28"/>
          <w:szCs w:val="28"/>
        </w:rPr>
        <w:t>Region Europy Środkowo-Wschodniej, z Polską</w:t>
      </w:r>
      <w:r w:rsidR="009E5CB3">
        <w:rPr>
          <w:rFonts w:ascii="Calibri" w:hAnsi="Calibri" w:cs="Calibri"/>
          <w:b/>
          <w:bCs/>
          <w:sz w:val="28"/>
          <w:szCs w:val="28"/>
        </w:rPr>
        <w:t xml:space="preserve"> na czele</w:t>
      </w:r>
      <w:r w:rsidRPr="002B195D">
        <w:rPr>
          <w:rFonts w:ascii="Calibri" w:hAnsi="Calibri" w:cs="Calibri"/>
          <w:b/>
          <w:bCs/>
          <w:sz w:val="28"/>
          <w:szCs w:val="28"/>
        </w:rPr>
        <w:t>, rozwija się najszybciej w całej Europie</w:t>
      </w:r>
      <w:r w:rsidR="00254B9D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3D1FAED2" w14:textId="44FA2140" w:rsidR="00D37DBC" w:rsidRPr="002B195D" w:rsidRDefault="00D37DBC" w:rsidP="00C728C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B195D">
        <w:rPr>
          <w:rFonts w:ascii="Calibri" w:hAnsi="Calibri" w:cs="Calibri"/>
          <w:b/>
          <w:bCs/>
          <w:sz w:val="28"/>
          <w:szCs w:val="28"/>
        </w:rPr>
        <w:t>Leasing samochodowy pozostaje dominującym segmentem, a zielone finansowanie zyskuje na znaczeniu</w:t>
      </w:r>
    </w:p>
    <w:p w14:paraId="02354250" w14:textId="0C298802" w:rsidR="00C728C8" w:rsidRDefault="007F31C2" w:rsidP="00C728C8">
      <w:pPr>
        <w:spacing w:after="160" w:line="259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 xml:space="preserve">Warszawa, </w:t>
      </w:r>
      <w:r w:rsidR="00F51314">
        <w:rPr>
          <w:rFonts w:cstheme="minorHAnsi"/>
          <w:b/>
          <w:bCs/>
          <w:sz w:val="20"/>
          <w:szCs w:val="20"/>
        </w:rPr>
        <w:t>2</w:t>
      </w:r>
      <w:r w:rsidR="00BD1F96">
        <w:rPr>
          <w:rFonts w:cstheme="minorHAnsi"/>
          <w:b/>
          <w:bCs/>
          <w:sz w:val="20"/>
          <w:szCs w:val="20"/>
        </w:rPr>
        <w:t>1</w:t>
      </w:r>
      <w:r w:rsidR="00F51314">
        <w:rPr>
          <w:rFonts w:cstheme="minorHAnsi"/>
          <w:b/>
          <w:bCs/>
          <w:sz w:val="20"/>
          <w:szCs w:val="20"/>
        </w:rPr>
        <w:t xml:space="preserve"> października </w:t>
      </w:r>
      <w:r>
        <w:rPr>
          <w:rFonts w:cstheme="minorHAnsi"/>
          <w:b/>
          <w:bCs/>
          <w:sz w:val="20"/>
          <w:szCs w:val="20"/>
        </w:rPr>
        <w:t>2025</w:t>
      </w:r>
      <w:r w:rsidR="00DC0DAA">
        <w:rPr>
          <w:rFonts w:cstheme="minorHAnsi"/>
          <w:b/>
          <w:bCs/>
          <w:sz w:val="20"/>
          <w:szCs w:val="20"/>
        </w:rPr>
        <w:t xml:space="preserve"> r.</w:t>
      </w:r>
      <w:r w:rsidR="00F31C6E">
        <w:rPr>
          <w:rFonts w:cstheme="minorHAnsi"/>
          <w:b/>
          <w:bCs/>
          <w:sz w:val="20"/>
          <w:szCs w:val="20"/>
        </w:rPr>
        <w:t xml:space="preserve"> -</w:t>
      </w:r>
      <w:r w:rsidR="00DC0DAA">
        <w:rPr>
          <w:rFonts w:cstheme="minorHAnsi"/>
          <w:b/>
          <w:bCs/>
          <w:sz w:val="20"/>
          <w:szCs w:val="20"/>
        </w:rPr>
        <w:t xml:space="preserve"> </w:t>
      </w:r>
      <w:r w:rsidR="00C728C8" w:rsidRPr="000D5EAF">
        <w:rPr>
          <w:rFonts w:cstheme="minorHAnsi"/>
          <w:sz w:val="20"/>
          <w:szCs w:val="20"/>
        </w:rPr>
        <w:t xml:space="preserve">Polska należy do liderów europejskiego rynku leasingu – zarówno pod względem tempa wzrostu, jak i znaczenia dla finansowania inwestycji przedsiębiorstw. Według najnowszego raportu Leaseurope </w:t>
      </w:r>
      <w:proofErr w:type="spellStart"/>
      <w:r w:rsidR="00C728C8" w:rsidRPr="000D5EAF">
        <w:rPr>
          <w:rFonts w:cstheme="minorHAnsi"/>
          <w:sz w:val="20"/>
          <w:szCs w:val="20"/>
        </w:rPr>
        <w:t>Annual</w:t>
      </w:r>
      <w:proofErr w:type="spellEnd"/>
      <w:r w:rsidR="00C728C8" w:rsidRPr="000D5EAF">
        <w:rPr>
          <w:rFonts w:cstheme="minorHAnsi"/>
          <w:sz w:val="20"/>
          <w:szCs w:val="20"/>
        </w:rPr>
        <w:t xml:space="preserve"> Statistical Report 2024, europejski sektor leasingowy zwiększył wartość nowych umów o 3,1% rok do roku, osiągając 454 mld euro. Polska, reprezentująca region Europy Środkow</w:t>
      </w:r>
      <w:r w:rsidR="008261BD">
        <w:rPr>
          <w:rFonts w:cstheme="minorHAnsi"/>
          <w:sz w:val="20"/>
          <w:szCs w:val="20"/>
        </w:rPr>
        <w:t xml:space="preserve">ej i </w:t>
      </w:r>
      <w:r w:rsidR="00C728C8" w:rsidRPr="000D5EAF">
        <w:rPr>
          <w:rFonts w:cstheme="minorHAnsi"/>
          <w:sz w:val="20"/>
          <w:szCs w:val="20"/>
        </w:rPr>
        <w:t>Wschodniej, znalazła się w gronie krajów o najwyższej dynamice wzrostu, a pod względem wielkości rynku pozostaje na 5. miejscu w Europie, po Wielkiej Brytanii, Niemczech, Francji i Włoszech.</w:t>
      </w:r>
    </w:p>
    <w:p w14:paraId="08BD9C7E" w14:textId="61ECEF1A" w:rsidR="00BD1F96" w:rsidRPr="000D5EAF" w:rsidRDefault="00BD1F96" w:rsidP="00BD1F96">
      <w:pPr>
        <w:spacing w:after="160" w:line="259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599DA9F6" wp14:editId="031D808E">
            <wp:extent cx="5759450" cy="3215640"/>
            <wp:effectExtent l="0" t="0" r="0" b="3810"/>
            <wp:docPr id="382568025" name="Obraz 1" descr="Obraz zawierający tekst, Czcionka, zrzut ekranu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568025" name="Obraz 1" descr="Obraz zawierający tekst, Czcionka, zrzut ekranu&#10;&#10;Zawartość wygenerowana przez AI może być niepoprawna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D9C60" w14:textId="5E1511E5" w:rsidR="00C728C8" w:rsidRPr="000D5EAF" w:rsidRDefault="00C728C8" w:rsidP="00C728C8">
      <w:pPr>
        <w:spacing w:after="160" w:line="259" w:lineRule="auto"/>
        <w:jc w:val="both"/>
        <w:rPr>
          <w:rFonts w:cstheme="minorHAnsi"/>
          <w:b/>
          <w:bCs/>
          <w:sz w:val="20"/>
          <w:szCs w:val="20"/>
        </w:rPr>
      </w:pPr>
      <w:r w:rsidRPr="000D5EAF">
        <w:rPr>
          <w:rFonts w:cstheme="minorHAnsi"/>
          <w:b/>
          <w:bCs/>
          <w:sz w:val="20"/>
          <w:szCs w:val="20"/>
        </w:rPr>
        <w:t>Polska liderem w wykorzystaniu leasingu</w:t>
      </w:r>
    </w:p>
    <w:p w14:paraId="66A4FA3F" w14:textId="77777777" w:rsidR="00C728C8" w:rsidRDefault="00C728C8" w:rsidP="00C728C8">
      <w:pPr>
        <w:spacing w:after="160" w:line="259" w:lineRule="auto"/>
        <w:jc w:val="both"/>
        <w:rPr>
          <w:rFonts w:cstheme="minorHAnsi"/>
          <w:sz w:val="20"/>
          <w:szCs w:val="20"/>
        </w:rPr>
      </w:pPr>
      <w:r w:rsidRPr="000D5EAF">
        <w:rPr>
          <w:rFonts w:cstheme="minorHAnsi"/>
          <w:sz w:val="20"/>
          <w:szCs w:val="20"/>
        </w:rPr>
        <w:t xml:space="preserve">Polska może pochwalić się najwyższym w Europie wskaźnikiem wykorzystania leasingu w finansowaniu inwestycji przedsiębiorstw. Według Leaseurope, aż 44% nakładów firm na sprzęt, maszyny i pojazdy jest finansowanych za </w:t>
      </w:r>
      <w:r w:rsidRPr="000D5EAF">
        <w:rPr>
          <w:rFonts w:cstheme="minorHAnsi"/>
          <w:sz w:val="20"/>
          <w:szCs w:val="20"/>
        </w:rPr>
        <w:lastRenderedPageBreak/>
        <w:t>pomocą leasingu. Dla porównania, w Wielkiej Brytanii wskaźnik ten wynosi 43%, w Niemczech 28%, a średnia europejska to 28%.</w:t>
      </w:r>
    </w:p>
    <w:p w14:paraId="17131374" w14:textId="6DAC08FC" w:rsidR="00A7223E" w:rsidRDefault="00A7223E" w:rsidP="00A7223E">
      <w:p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2B195D">
        <w:rPr>
          <w:rFonts w:ascii="Calibri" w:hAnsi="Calibri" w:cs="Calibri"/>
          <w:sz w:val="20"/>
          <w:szCs w:val="20"/>
        </w:rPr>
        <w:t xml:space="preserve">– </w:t>
      </w:r>
      <w:r w:rsidRPr="002B195D">
        <w:rPr>
          <w:rFonts w:ascii="Calibri" w:hAnsi="Calibri" w:cs="Calibri"/>
          <w:i/>
          <w:iCs/>
          <w:sz w:val="20"/>
          <w:szCs w:val="20"/>
        </w:rPr>
        <w:t>Wyniki raportu potwierdzają, że leasing jest jednym z głównych motorów inwestycji w Polsce. To narzędzie, z którego przedsiębiorcy korzystają nie tylko ze względu na dostępność, ale również elastyczność i dopasowanie do potrzeb firm</w:t>
      </w:r>
      <w:r w:rsidRPr="00A7223E">
        <w:rPr>
          <w:rFonts w:ascii="Calibri" w:hAnsi="Calibri" w:cs="Calibri"/>
          <w:i/>
          <w:iCs/>
          <w:sz w:val="20"/>
          <w:szCs w:val="20"/>
        </w:rPr>
        <w:t xml:space="preserve">. </w:t>
      </w:r>
      <w:r w:rsidRPr="002B195D">
        <w:rPr>
          <w:rFonts w:ascii="Calibri" w:hAnsi="Calibri" w:cs="Calibri"/>
          <w:i/>
          <w:iCs/>
          <w:sz w:val="20"/>
          <w:szCs w:val="20"/>
        </w:rPr>
        <w:t xml:space="preserve">Szczególnie </w:t>
      </w:r>
      <w:r w:rsidRPr="00A7223E">
        <w:rPr>
          <w:rFonts w:ascii="Calibri" w:hAnsi="Calibri" w:cs="Calibri"/>
          <w:i/>
          <w:iCs/>
          <w:sz w:val="20"/>
          <w:szCs w:val="20"/>
        </w:rPr>
        <w:t xml:space="preserve">mikro, </w:t>
      </w:r>
      <w:r w:rsidRPr="002B195D">
        <w:rPr>
          <w:rFonts w:ascii="Calibri" w:hAnsi="Calibri" w:cs="Calibri"/>
          <w:i/>
          <w:iCs/>
          <w:sz w:val="20"/>
          <w:szCs w:val="20"/>
        </w:rPr>
        <w:t xml:space="preserve">małe i średnie przedsiębiorstwa, które stanowią </w:t>
      </w:r>
      <w:r w:rsidR="000A6D66">
        <w:rPr>
          <w:rFonts w:ascii="Calibri" w:hAnsi="Calibri" w:cs="Calibri"/>
          <w:i/>
          <w:iCs/>
          <w:sz w:val="20"/>
          <w:szCs w:val="20"/>
        </w:rPr>
        <w:t>ponad 70</w:t>
      </w:r>
      <w:r w:rsidRPr="002B195D">
        <w:rPr>
          <w:rFonts w:ascii="Calibri" w:hAnsi="Calibri" w:cs="Calibri"/>
          <w:i/>
          <w:iCs/>
          <w:sz w:val="20"/>
          <w:szCs w:val="20"/>
        </w:rPr>
        <w:t>% klientów branży, wykorzystują leasing jako skuteczny sposób finansowania rozwoju</w:t>
      </w:r>
      <w:r w:rsidRPr="00A7223E">
        <w:rPr>
          <w:rFonts w:ascii="Calibri" w:hAnsi="Calibri" w:cs="Calibri"/>
          <w:sz w:val="20"/>
          <w:szCs w:val="20"/>
        </w:rPr>
        <w:t xml:space="preserve"> </w:t>
      </w:r>
      <w:r w:rsidRPr="002B195D">
        <w:rPr>
          <w:rFonts w:ascii="Calibri" w:hAnsi="Calibri" w:cs="Calibri"/>
          <w:sz w:val="20"/>
          <w:szCs w:val="20"/>
        </w:rPr>
        <w:t xml:space="preserve">– mówi </w:t>
      </w:r>
      <w:r w:rsidRPr="002B195D">
        <w:rPr>
          <w:rFonts w:ascii="Calibri" w:hAnsi="Calibri" w:cs="Calibri"/>
          <w:b/>
          <w:bCs/>
          <w:sz w:val="20"/>
          <w:szCs w:val="20"/>
        </w:rPr>
        <w:t>Monika Constant</w:t>
      </w:r>
      <w:r w:rsidRPr="002B195D">
        <w:rPr>
          <w:rFonts w:ascii="Calibri" w:hAnsi="Calibri" w:cs="Calibri"/>
          <w:sz w:val="20"/>
          <w:szCs w:val="20"/>
        </w:rPr>
        <w:t>, prezeska Związku Polskiego Leasingu.</w:t>
      </w:r>
    </w:p>
    <w:p w14:paraId="3A394A28" w14:textId="76167AE1" w:rsidR="00BD1F96" w:rsidRPr="002B195D" w:rsidRDefault="00BD1F96" w:rsidP="00BD1F96">
      <w:pPr>
        <w:spacing w:after="160" w:line="259" w:lineRule="auto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774F9FB" wp14:editId="496B41E3">
            <wp:extent cx="5759450" cy="4415790"/>
            <wp:effectExtent l="0" t="0" r="0" b="3810"/>
            <wp:docPr id="2069593006" name="Obraz 2" descr="Obraz zawierający tekst, zrzut ekranu, diagram, lin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593006" name="Obraz 2" descr="Obraz zawierający tekst, zrzut ekranu, diagram, linia&#10;&#10;Zawartość wygenerowana przez AI może być niepoprawna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41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6A245" w14:textId="26E5376F" w:rsidR="00C728C8" w:rsidRPr="000D5EAF" w:rsidRDefault="00C728C8" w:rsidP="00C728C8">
      <w:pPr>
        <w:spacing w:after="160" w:line="259" w:lineRule="auto"/>
        <w:jc w:val="both"/>
        <w:rPr>
          <w:rFonts w:cstheme="minorHAnsi"/>
          <w:b/>
          <w:bCs/>
          <w:sz w:val="20"/>
          <w:szCs w:val="20"/>
        </w:rPr>
      </w:pPr>
      <w:r w:rsidRPr="000D5EAF">
        <w:rPr>
          <w:rFonts w:cstheme="minorHAnsi"/>
          <w:b/>
          <w:bCs/>
          <w:sz w:val="20"/>
          <w:szCs w:val="20"/>
        </w:rPr>
        <w:t>Europa Środkowo</w:t>
      </w:r>
      <w:r w:rsidR="00142AA0" w:rsidRPr="00142AA0">
        <w:rPr>
          <w:rFonts w:cstheme="minorHAnsi"/>
          <w:b/>
          <w:bCs/>
          <w:sz w:val="20"/>
          <w:szCs w:val="20"/>
        </w:rPr>
        <w:t>-</w:t>
      </w:r>
      <w:r w:rsidRPr="000D5EAF">
        <w:rPr>
          <w:rFonts w:cstheme="minorHAnsi"/>
          <w:b/>
          <w:bCs/>
          <w:sz w:val="20"/>
          <w:szCs w:val="20"/>
        </w:rPr>
        <w:t>Wschodnia w ofensywie</w:t>
      </w:r>
    </w:p>
    <w:p w14:paraId="523C0B0E" w14:textId="77777777" w:rsidR="00C728C8" w:rsidRPr="000D5EAF" w:rsidRDefault="00C728C8" w:rsidP="00C728C8">
      <w:pPr>
        <w:spacing w:after="160" w:line="259" w:lineRule="auto"/>
        <w:jc w:val="both"/>
        <w:rPr>
          <w:rFonts w:cstheme="minorHAnsi"/>
          <w:sz w:val="20"/>
          <w:szCs w:val="20"/>
        </w:rPr>
      </w:pPr>
      <w:r w:rsidRPr="000D5EAF">
        <w:rPr>
          <w:rFonts w:cstheme="minorHAnsi"/>
          <w:sz w:val="20"/>
          <w:szCs w:val="20"/>
        </w:rPr>
        <w:t>Region Europy Środkowo-Wschodniej (CEE), obejmujący m.in. Polskę, Czechy, Węgry i Słowację, był w 2024 r. najszybciej rozwijającym się obszarem leasingowym w Europie. Tempo wzrostu finansowania inwestycji przekroczyło 10%, podczas gdy duże rynki – jak Niemcy czy Włochy – odnotowały spadki.</w:t>
      </w:r>
    </w:p>
    <w:p w14:paraId="6480F7B1" w14:textId="77777777" w:rsidR="00C728C8" w:rsidRDefault="00C728C8" w:rsidP="00C728C8">
      <w:pPr>
        <w:spacing w:after="160" w:line="259" w:lineRule="auto"/>
        <w:jc w:val="both"/>
        <w:rPr>
          <w:rFonts w:cstheme="minorHAnsi"/>
          <w:sz w:val="20"/>
          <w:szCs w:val="20"/>
        </w:rPr>
      </w:pPr>
      <w:r w:rsidRPr="000D5EAF">
        <w:rPr>
          <w:rFonts w:cstheme="minorHAnsi"/>
          <w:sz w:val="20"/>
          <w:szCs w:val="20"/>
        </w:rPr>
        <w:t>Polska pozostaje najważniejszym rynkiem w tym regionie, odpowiadając za największą część finansowania udzielanego przedsiębiorcom i stanowiąc wzorzec dla sąsiednich krajów w zakresie rozwoju oferty leasingowej dla MŚP.</w:t>
      </w:r>
    </w:p>
    <w:p w14:paraId="65BE6326" w14:textId="423CC4FB" w:rsidR="00F97AF3" w:rsidRDefault="00206C9B" w:rsidP="00C74CF4">
      <w:pPr>
        <w:spacing w:after="160" w:line="259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065CD7">
        <w:rPr>
          <w:rFonts w:cstheme="minorHAnsi"/>
          <w:i/>
          <w:iCs/>
          <w:sz w:val="20"/>
          <w:szCs w:val="20"/>
        </w:rPr>
        <w:t>2024 rok był kolejnym z rzędu, w którym branża leasingowa wzrosła dwucyfrowo - o 10,4 proc. Tym samym wartość sfinansowanych ruchomości i nieruchomości wyniosła 110,5 mld zł w ubiegłym roku. </w:t>
      </w:r>
      <w:r w:rsidR="005E6CF4" w:rsidRPr="00065CD7">
        <w:rPr>
          <w:rFonts w:cstheme="minorHAnsi"/>
          <w:i/>
          <w:iCs/>
          <w:sz w:val="20"/>
          <w:szCs w:val="20"/>
        </w:rPr>
        <w:t xml:space="preserve">W tym roku wzrost może nieco wyhamować. Szacujemy, że rynek wzrośnie o 6%, a to by oznaczało to, że w całym 2025 roku rynek </w:t>
      </w:r>
      <w:r w:rsidR="005E6CF4" w:rsidRPr="00065CD7">
        <w:rPr>
          <w:rFonts w:cstheme="minorHAnsi"/>
          <w:i/>
          <w:iCs/>
          <w:sz w:val="20"/>
          <w:szCs w:val="20"/>
        </w:rPr>
        <w:lastRenderedPageBreak/>
        <w:t>osiągnie wartość około 116,6 mld zł.</w:t>
      </w:r>
      <w:r w:rsidR="00065CD7" w:rsidRPr="00065CD7">
        <w:rPr>
          <w:rFonts w:cstheme="minorHAnsi"/>
          <w:i/>
          <w:iCs/>
          <w:sz w:val="20"/>
          <w:szCs w:val="20"/>
        </w:rPr>
        <w:t xml:space="preserve"> </w:t>
      </w:r>
      <w:r w:rsidR="00EB3A1E">
        <w:rPr>
          <w:rFonts w:cstheme="minorHAnsi"/>
          <w:i/>
          <w:iCs/>
          <w:sz w:val="20"/>
          <w:szCs w:val="20"/>
        </w:rPr>
        <w:t>Mniejszy niż</w:t>
      </w:r>
      <w:r w:rsidR="00123D1C">
        <w:rPr>
          <w:rFonts w:cstheme="minorHAnsi"/>
          <w:i/>
          <w:iCs/>
          <w:sz w:val="20"/>
          <w:szCs w:val="20"/>
        </w:rPr>
        <w:t xml:space="preserve"> </w:t>
      </w:r>
      <w:r w:rsidR="003217DF" w:rsidRPr="003217DF">
        <w:rPr>
          <w:rFonts w:cstheme="minorHAnsi"/>
          <w:i/>
          <w:iCs/>
          <w:sz w:val="20"/>
          <w:szCs w:val="20"/>
        </w:rPr>
        <w:t>wcześniej prognozowaliśmy</w:t>
      </w:r>
      <w:r w:rsidR="003217DF">
        <w:rPr>
          <w:rFonts w:cstheme="minorHAnsi"/>
          <w:i/>
          <w:iCs/>
          <w:sz w:val="20"/>
          <w:szCs w:val="20"/>
        </w:rPr>
        <w:t xml:space="preserve"> </w:t>
      </w:r>
      <w:r w:rsidR="00EB3A1E" w:rsidRPr="003217DF">
        <w:rPr>
          <w:rFonts w:cstheme="minorHAnsi"/>
          <w:i/>
          <w:iCs/>
          <w:sz w:val="20"/>
          <w:szCs w:val="20"/>
        </w:rPr>
        <w:t xml:space="preserve">wzrost </w:t>
      </w:r>
      <w:r w:rsidR="00EB3A1E">
        <w:rPr>
          <w:rFonts w:cstheme="minorHAnsi"/>
          <w:i/>
          <w:iCs/>
          <w:sz w:val="20"/>
          <w:szCs w:val="20"/>
        </w:rPr>
        <w:t>j</w:t>
      </w:r>
      <w:r w:rsidR="00065CD7" w:rsidRPr="00065CD7">
        <w:rPr>
          <w:rFonts w:cstheme="minorHAnsi"/>
          <w:i/>
          <w:iCs/>
          <w:sz w:val="20"/>
          <w:szCs w:val="20"/>
        </w:rPr>
        <w:t xml:space="preserve">est wynikiem sporej niepewności geopolitycznej, ale </w:t>
      </w:r>
      <w:r w:rsidR="00AB02E5" w:rsidRPr="00065CD7">
        <w:rPr>
          <w:rFonts w:cstheme="minorHAnsi"/>
          <w:i/>
          <w:iCs/>
          <w:sz w:val="20"/>
          <w:szCs w:val="20"/>
        </w:rPr>
        <w:t>także opóźnień</w:t>
      </w:r>
      <w:r w:rsidR="00065CD7" w:rsidRPr="00065CD7">
        <w:rPr>
          <w:rFonts w:cstheme="minorHAnsi"/>
          <w:i/>
          <w:iCs/>
          <w:sz w:val="20"/>
          <w:szCs w:val="20"/>
        </w:rPr>
        <w:t xml:space="preserve"> inwestycji infrastrukturalnych</w:t>
      </w:r>
      <w:r w:rsidR="009F7953">
        <w:rPr>
          <w:rFonts w:cstheme="minorHAnsi"/>
          <w:i/>
          <w:iCs/>
          <w:sz w:val="20"/>
          <w:szCs w:val="20"/>
        </w:rPr>
        <w:t xml:space="preserve"> – </w:t>
      </w:r>
      <w:r w:rsidR="009F7953" w:rsidRPr="009F7953">
        <w:rPr>
          <w:rFonts w:cstheme="minorHAnsi"/>
          <w:sz w:val="20"/>
          <w:szCs w:val="20"/>
        </w:rPr>
        <w:t xml:space="preserve">mówi </w:t>
      </w:r>
      <w:r w:rsidR="009F7953" w:rsidRPr="009F7953">
        <w:rPr>
          <w:rFonts w:cstheme="minorHAnsi"/>
          <w:b/>
          <w:bCs/>
          <w:sz w:val="20"/>
          <w:szCs w:val="20"/>
        </w:rPr>
        <w:t>Monika Constant</w:t>
      </w:r>
      <w:r w:rsidR="009F7953" w:rsidRPr="009F7953">
        <w:rPr>
          <w:rFonts w:cstheme="minorHAnsi"/>
          <w:sz w:val="20"/>
          <w:szCs w:val="20"/>
        </w:rPr>
        <w:t>.</w:t>
      </w:r>
      <w:r w:rsidR="0027440F">
        <w:rPr>
          <w:rFonts w:cstheme="minorHAnsi"/>
          <w:sz w:val="20"/>
          <w:szCs w:val="20"/>
        </w:rPr>
        <w:t xml:space="preserve"> - </w:t>
      </w:r>
      <w:r w:rsidR="009F7953" w:rsidRPr="009F7953">
        <w:rPr>
          <w:rFonts w:cstheme="minorHAnsi"/>
          <w:i/>
          <w:iCs/>
          <w:sz w:val="20"/>
          <w:szCs w:val="20"/>
        </w:rPr>
        <w:t xml:space="preserve">W 2025 roku kluczowe znaczenie dla dynamiki rynku będzie miało tempo uruchamiania </w:t>
      </w:r>
      <w:r w:rsidR="009F7953" w:rsidRPr="0027440F">
        <w:rPr>
          <w:rFonts w:cstheme="minorHAnsi"/>
          <w:i/>
          <w:iCs/>
          <w:sz w:val="20"/>
          <w:szCs w:val="20"/>
        </w:rPr>
        <w:t>pieniędzy</w:t>
      </w:r>
      <w:r w:rsidR="009F7953" w:rsidRPr="009F7953">
        <w:rPr>
          <w:rFonts w:cstheme="minorHAnsi"/>
          <w:i/>
          <w:iCs/>
          <w:sz w:val="20"/>
          <w:szCs w:val="20"/>
        </w:rPr>
        <w:t xml:space="preserve"> unijnych, stabilizacja stóp procentowych oraz rozwój inwestycji prywatnych. Leasing pozostanie dla przedsiębiorców najważniejszym i najbardziej elastycznym źródłem finansowania rozwoju</w:t>
      </w:r>
      <w:r w:rsidR="0027440F">
        <w:rPr>
          <w:rFonts w:cstheme="minorHAnsi"/>
          <w:sz w:val="20"/>
          <w:szCs w:val="20"/>
        </w:rPr>
        <w:t xml:space="preserve"> – dodaje prezeska Związku Polskiego Leasingu.</w:t>
      </w:r>
    </w:p>
    <w:p w14:paraId="46967CC4" w14:textId="03FD87AD" w:rsidR="00151458" w:rsidRPr="000D5EAF" w:rsidRDefault="00A03220" w:rsidP="00C74CF4">
      <w:pPr>
        <w:spacing w:after="160" w:line="259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304AB2E4" wp14:editId="118D8ABB">
            <wp:extent cx="5759450" cy="3215640"/>
            <wp:effectExtent l="0" t="0" r="0" b="3810"/>
            <wp:docPr id="19314640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464003" name="Obraz 193146400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B38D0" w14:textId="67BE2585" w:rsidR="00C728C8" w:rsidRPr="000D5EAF" w:rsidRDefault="00C728C8" w:rsidP="00C728C8">
      <w:pPr>
        <w:spacing w:after="160" w:line="259" w:lineRule="auto"/>
        <w:jc w:val="both"/>
        <w:rPr>
          <w:rFonts w:cstheme="minorHAnsi"/>
          <w:b/>
          <w:bCs/>
          <w:sz w:val="20"/>
          <w:szCs w:val="20"/>
        </w:rPr>
      </w:pPr>
      <w:r w:rsidRPr="000D5EAF">
        <w:rPr>
          <w:rFonts w:cstheme="minorHAnsi"/>
          <w:b/>
          <w:bCs/>
          <w:sz w:val="20"/>
          <w:szCs w:val="20"/>
        </w:rPr>
        <w:t>Motoryzacja wciąż na czele</w:t>
      </w:r>
    </w:p>
    <w:p w14:paraId="3DAF528A" w14:textId="70225630" w:rsidR="00C728C8" w:rsidRPr="000D5EAF" w:rsidRDefault="00C728C8" w:rsidP="00C728C8">
      <w:pPr>
        <w:spacing w:after="160" w:line="259" w:lineRule="auto"/>
        <w:jc w:val="both"/>
        <w:rPr>
          <w:rFonts w:cstheme="minorHAnsi"/>
          <w:sz w:val="20"/>
          <w:szCs w:val="20"/>
        </w:rPr>
      </w:pPr>
      <w:r w:rsidRPr="000D5EAF">
        <w:rPr>
          <w:rFonts w:cstheme="minorHAnsi"/>
          <w:sz w:val="20"/>
          <w:szCs w:val="20"/>
        </w:rPr>
        <w:t>Leasing pojazdów pozostaje główną siłą napędową rynku – w Europie odpowiadał</w:t>
      </w:r>
      <w:r w:rsidR="0027440F">
        <w:rPr>
          <w:rFonts w:cstheme="minorHAnsi"/>
          <w:sz w:val="20"/>
          <w:szCs w:val="20"/>
        </w:rPr>
        <w:t xml:space="preserve"> w 2024 roku</w:t>
      </w:r>
      <w:r w:rsidRPr="000D5EAF">
        <w:rPr>
          <w:rFonts w:cstheme="minorHAnsi"/>
          <w:sz w:val="20"/>
          <w:szCs w:val="20"/>
        </w:rPr>
        <w:t xml:space="preserve"> za ok. 75% wszystkich nowych umów. Wartość finansowania samochodów osobowych wzrosła o 4,4%, a pojazdów dostawczych i ciężarowych o 5,7%.</w:t>
      </w:r>
    </w:p>
    <w:p w14:paraId="09FE3CD8" w14:textId="77777777" w:rsidR="00C728C8" w:rsidRDefault="00C728C8" w:rsidP="00C728C8">
      <w:pPr>
        <w:spacing w:after="160" w:line="259" w:lineRule="auto"/>
        <w:jc w:val="both"/>
        <w:rPr>
          <w:rFonts w:cstheme="minorHAnsi"/>
          <w:sz w:val="20"/>
          <w:szCs w:val="20"/>
        </w:rPr>
      </w:pPr>
      <w:r w:rsidRPr="000D5EAF">
        <w:rPr>
          <w:rFonts w:cstheme="minorHAnsi"/>
          <w:sz w:val="20"/>
          <w:szCs w:val="20"/>
        </w:rPr>
        <w:t>Polski rynek ma podobną strukturę – zdecydowana większość finansowania dotyczy środków transportu. Coraz szybciej rośnie jednak udział pojazdów nisko- i zeroemisyjnych. W całej Europie już co czwarty samochód finansowany przez firmy leasingowe był elektryczny (BEV), a ich liczba wzrosła o ponad 20% rok do roku. Polska, choć startuje z niższego poziomu, konsekwentnie zwiększa udział finansowania aut elektrycznych i wspiera rozwój flot niskoemisyjnych.</w:t>
      </w:r>
    </w:p>
    <w:p w14:paraId="7676FD78" w14:textId="2D2C4022" w:rsidR="00F97AF3" w:rsidRPr="000D5EAF" w:rsidRDefault="00F97AF3" w:rsidP="00F97AF3">
      <w:pPr>
        <w:spacing w:after="160" w:line="259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15A533EB" wp14:editId="7FAA5296">
            <wp:extent cx="5759450" cy="3551555"/>
            <wp:effectExtent l="0" t="0" r="0" b="0"/>
            <wp:docPr id="196014581" name="Obraz 3" descr="Obraz zawierający tekst, zrzut ekranu, Czcionka, diagra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14581" name="Obraz 3" descr="Obraz zawierający tekst, zrzut ekranu, Czcionka, diagram&#10;&#10;Zawartość wygenerowana przez AI może być niepoprawna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0F398" w14:textId="70516B84" w:rsidR="00C728C8" w:rsidRPr="000D5EAF" w:rsidRDefault="00C728C8" w:rsidP="00C728C8">
      <w:pPr>
        <w:spacing w:after="160" w:line="259" w:lineRule="auto"/>
        <w:jc w:val="both"/>
        <w:rPr>
          <w:rFonts w:cstheme="minorHAnsi"/>
          <w:b/>
          <w:bCs/>
          <w:sz w:val="20"/>
          <w:szCs w:val="20"/>
        </w:rPr>
      </w:pPr>
      <w:r w:rsidRPr="000D5EAF">
        <w:rPr>
          <w:rFonts w:cstheme="minorHAnsi"/>
          <w:b/>
          <w:bCs/>
          <w:sz w:val="20"/>
          <w:szCs w:val="20"/>
        </w:rPr>
        <w:t>Leasing stabilne źródło inwestycji</w:t>
      </w:r>
    </w:p>
    <w:p w14:paraId="7D3E1935" w14:textId="77777777" w:rsidR="00C728C8" w:rsidRPr="000D5EAF" w:rsidRDefault="00C728C8" w:rsidP="00C728C8">
      <w:pPr>
        <w:spacing w:after="160" w:line="259" w:lineRule="auto"/>
        <w:jc w:val="both"/>
        <w:rPr>
          <w:rFonts w:cstheme="minorHAnsi"/>
          <w:sz w:val="20"/>
          <w:szCs w:val="20"/>
        </w:rPr>
      </w:pPr>
      <w:r w:rsidRPr="000D5EAF">
        <w:rPr>
          <w:rFonts w:cstheme="minorHAnsi"/>
          <w:sz w:val="20"/>
          <w:szCs w:val="20"/>
        </w:rPr>
        <w:t>W warunkach wysokich kosztów kredytu i niepewności gospodarczej leasing pozostaje najbardziej stabilnym i dostępnym źródłem finansowania inwestycji. W 2024 r. w całej Europie tempo wzrostu inwestycji (GFCF) spadło poniżej 1%, podczas gdy leasing utrzymał solidne tempo rozwoju.</w:t>
      </w:r>
    </w:p>
    <w:p w14:paraId="310A03B7" w14:textId="6B05D16A" w:rsidR="00F51314" w:rsidRPr="007553A7" w:rsidRDefault="00C728C8" w:rsidP="007553A7">
      <w:pPr>
        <w:spacing w:after="160" w:line="259" w:lineRule="auto"/>
        <w:jc w:val="both"/>
        <w:rPr>
          <w:rFonts w:cstheme="minorHAnsi"/>
          <w:sz w:val="20"/>
          <w:szCs w:val="20"/>
        </w:rPr>
      </w:pPr>
      <w:r w:rsidRPr="000D5EAF">
        <w:rPr>
          <w:rFonts w:cstheme="minorHAnsi"/>
          <w:sz w:val="20"/>
          <w:szCs w:val="20"/>
        </w:rPr>
        <w:t>W Polsce, gdzie leasing jest szczególnie silnie powiązany z inwestycjami w transport, produkcję i budownictwo, jego rola w utrzymaniu aktywności inwestycyjnej przedsiębiorstw jest nie do przecenienia.</w:t>
      </w:r>
    </w:p>
    <w:p w14:paraId="13B0B5CB" w14:textId="77777777" w:rsidR="00F51314" w:rsidRDefault="00F51314" w:rsidP="00F51314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39CDED04" w14:textId="77777777" w:rsidR="00E96D8A" w:rsidRDefault="00E96D8A" w:rsidP="00F51314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2B39507B" w14:textId="77777777" w:rsidR="00E96D8A" w:rsidRPr="00F51314" w:rsidRDefault="00E96D8A" w:rsidP="00F51314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40E5B297" w14:textId="683D5347" w:rsidR="008B319C" w:rsidRPr="00B10084" w:rsidRDefault="008B319C" w:rsidP="008B319C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7013448" w14:textId="31682209" w:rsidR="008B319C" w:rsidRPr="00B10084" w:rsidRDefault="008B319C" w:rsidP="008B319C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 w:rsidR="0036054F">
        <w:rPr>
          <w:rFonts w:cstheme="minorHAnsi"/>
          <w:sz w:val="16"/>
          <w:szCs w:val="16"/>
          <w:shd w:val="clear" w:color="auto" w:fill="FFFFFF"/>
        </w:rPr>
        <w:t>6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</w:t>
      </w:r>
      <w:r w:rsidR="0036054F">
        <w:rPr>
          <w:rFonts w:cstheme="minorHAnsi"/>
          <w:sz w:val="16"/>
          <w:szCs w:val="16"/>
          <w:shd w:val="clear" w:color="auto" w:fill="FFFFFF"/>
        </w:rPr>
        <w:t>ów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obejmujące </w:t>
      </w:r>
      <w:r w:rsidR="0036054F">
        <w:rPr>
          <w:rFonts w:cstheme="minorHAnsi"/>
          <w:sz w:val="16"/>
          <w:szCs w:val="16"/>
          <w:shd w:val="clear" w:color="auto" w:fill="FFFFFF"/>
        </w:rPr>
        <w:t xml:space="preserve">ponad </w:t>
      </w:r>
      <w:r w:rsidRPr="00B10084">
        <w:rPr>
          <w:rFonts w:cstheme="minorHAnsi"/>
          <w:sz w:val="16"/>
          <w:szCs w:val="16"/>
          <w:shd w:val="clear" w:color="auto" w:fill="FFFFFF"/>
        </w:rPr>
        <w:t>90</w:t>
      </w:r>
      <w:r>
        <w:rPr>
          <w:rFonts w:cstheme="minorHAnsi"/>
          <w:sz w:val="16"/>
          <w:szCs w:val="16"/>
          <w:shd w:val="clear" w:color="auto" w:fill="FFFFFF"/>
        </w:rPr>
        <w:t xml:space="preserve">% </w:t>
      </w:r>
      <w:r w:rsidRPr="00B10084">
        <w:rPr>
          <w:rFonts w:cstheme="minorHAnsi"/>
          <w:sz w:val="16"/>
          <w:szCs w:val="16"/>
          <w:shd w:val="clear" w:color="auto" w:fill="FFFFFF"/>
        </w:rPr>
        <w:t>sektora: 3</w:t>
      </w:r>
      <w:r w:rsidR="0036054F">
        <w:rPr>
          <w:rFonts w:cstheme="minorHAnsi"/>
          <w:sz w:val="16"/>
          <w:szCs w:val="16"/>
          <w:shd w:val="clear" w:color="auto" w:fill="FFFFFF"/>
        </w:rPr>
        <w:t>5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 leasingow</w:t>
      </w:r>
      <w:r w:rsidR="0036054F">
        <w:rPr>
          <w:rFonts w:cstheme="minorHAnsi"/>
          <w:sz w:val="16"/>
          <w:szCs w:val="16"/>
          <w:shd w:val="clear" w:color="auto" w:fill="FFFFFF"/>
        </w:rPr>
        <w:t>ych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 xml:space="preserve">Związek jest aktywnym członkiem </w:t>
      </w:r>
      <w:r w:rsidR="00611516">
        <w:rPr>
          <w:rFonts w:cstheme="minorHAnsi"/>
          <w:sz w:val="16"/>
          <w:szCs w:val="16"/>
          <w:shd w:val="clear" w:color="auto" w:fill="FFFFFF"/>
        </w:rPr>
        <w:t xml:space="preserve">federacji </w:t>
      </w:r>
      <w:r w:rsidRPr="00977AF3">
        <w:rPr>
          <w:rFonts w:cstheme="minorHAnsi"/>
          <w:sz w:val="16"/>
          <w:szCs w:val="16"/>
          <w:shd w:val="clear" w:color="auto" w:fill="FFFFFF"/>
        </w:rPr>
        <w:t>Leaseurope,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</w:t>
      </w:r>
      <w:r w:rsidR="009E4435" w:rsidRPr="009E4435">
        <w:rPr>
          <w:rFonts w:cstheme="minorHAnsi"/>
          <w:sz w:val="16"/>
          <w:szCs w:val="16"/>
          <w:shd w:val="clear" w:color="auto" w:fill="FFFFFF"/>
        </w:rPr>
        <w:t>, obejmując</w:t>
      </w:r>
      <w:r w:rsidR="00611516">
        <w:rPr>
          <w:rFonts w:cstheme="minorHAnsi"/>
          <w:sz w:val="16"/>
          <w:szCs w:val="16"/>
          <w:shd w:val="clear" w:color="auto" w:fill="FFFFFF"/>
        </w:rPr>
        <w:t>ych</w:t>
      </w:r>
      <w:r w:rsidR="009E4435" w:rsidRPr="009E4435">
        <w:rPr>
          <w:rFonts w:cstheme="minorHAnsi"/>
          <w:sz w:val="16"/>
          <w:szCs w:val="16"/>
          <w:shd w:val="clear" w:color="auto" w:fill="FFFFFF"/>
        </w:rPr>
        <w:t xml:space="preserve"> około 91% europejskiego rynku leasingu i wynajmu pojazdów.</w:t>
      </w:r>
      <w:r w:rsidR="00611516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</w:t>
      </w:r>
      <w:r w:rsidR="0050582C">
        <w:rPr>
          <w:rFonts w:cstheme="minorHAnsi"/>
          <w:sz w:val="16"/>
          <w:szCs w:val="16"/>
          <w:shd w:val="clear" w:color="auto" w:fill="FFFFFF"/>
        </w:rPr>
        <w:t>ciągu trzech dekad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firmy leasingowe przeznaczyły ponad 1 bln zł na inwestycje </w:t>
      </w:r>
      <w:r w:rsidR="0050582C" w:rsidRPr="00B10084">
        <w:rPr>
          <w:rFonts w:cstheme="minorHAnsi"/>
          <w:sz w:val="16"/>
          <w:szCs w:val="16"/>
          <w:shd w:val="clear" w:color="auto" w:fill="FFFFFF"/>
        </w:rPr>
        <w:t xml:space="preserve">przedsiębiorstw 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działających w Polsce. </w:t>
      </w:r>
    </w:p>
    <w:p w14:paraId="143F7770" w14:textId="77777777" w:rsidR="008B319C" w:rsidRPr="00B10084" w:rsidRDefault="008B319C" w:rsidP="008B319C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8B319C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2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2952D40" w14:textId="77777777" w:rsidR="008B319C" w:rsidRPr="00B10084" w:rsidRDefault="008B319C" w:rsidP="008B319C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0FF5DEC6" w14:textId="77777777" w:rsidR="008B319C" w:rsidRPr="00B10084" w:rsidRDefault="008B319C" w:rsidP="008B319C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B10084" w:rsidRDefault="008B319C" w:rsidP="008B319C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FE1A5E" w:rsidRDefault="008B319C" w:rsidP="008B319C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lastRenderedPageBreak/>
        <w:t>Kontakt dla mediów:</w:t>
      </w:r>
    </w:p>
    <w:p w14:paraId="5F179E03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 w:rsidRPr="00FE1A5E">
        <w:rPr>
          <w:rFonts w:cstheme="minorHAnsi"/>
          <w:sz w:val="18"/>
          <w:szCs w:val="18"/>
          <w:lang w:val="de-DE"/>
        </w:rPr>
        <w:t>e-mail</w:t>
      </w:r>
      <w:proofErr w:type="spellEnd"/>
      <w:r w:rsidRPr="00FE1A5E"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73589F1E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C97560" w:rsidRDefault="008B319C" w:rsidP="008B319C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8B319C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5"/>
                    </pic:cNvPr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4F4588"/>
    <w:sectPr w:rsidR="008B319C" w:rsidRPr="004F4588" w:rsidSect="00684E74">
      <w:headerReference w:type="default" r:id="rId17"/>
      <w:footerReference w:type="default" r:id="rId18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7B9F4" w14:textId="77777777" w:rsidR="005E2C1E" w:rsidRDefault="005E2C1E" w:rsidP="00C64445">
      <w:r>
        <w:separator/>
      </w:r>
    </w:p>
  </w:endnote>
  <w:endnote w:type="continuationSeparator" w:id="0">
    <w:p w14:paraId="1AF89ED5" w14:textId="77777777" w:rsidR="005E2C1E" w:rsidRDefault="005E2C1E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98554" w14:textId="77777777" w:rsidR="005E2C1E" w:rsidRDefault="005E2C1E" w:rsidP="00C64445">
      <w:r>
        <w:separator/>
      </w:r>
    </w:p>
  </w:footnote>
  <w:footnote w:type="continuationSeparator" w:id="0">
    <w:p w14:paraId="07C9BC36" w14:textId="77777777" w:rsidR="005E2C1E" w:rsidRDefault="005E2C1E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25DA6"/>
    <w:multiLevelType w:val="multilevel"/>
    <w:tmpl w:val="D4E0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19"/>
  </w:num>
  <w:num w:numId="4" w16cid:durableId="663321470">
    <w:abstractNumId w:val="21"/>
  </w:num>
  <w:num w:numId="5" w16cid:durableId="162018194">
    <w:abstractNumId w:val="2"/>
  </w:num>
  <w:num w:numId="6" w16cid:durableId="64644634">
    <w:abstractNumId w:val="9"/>
  </w:num>
  <w:num w:numId="7" w16cid:durableId="2027907007">
    <w:abstractNumId w:val="17"/>
  </w:num>
  <w:num w:numId="8" w16cid:durableId="471412180">
    <w:abstractNumId w:val="8"/>
  </w:num>
  <w:num w:numId="9" w16cid:durableId="980813205">
    <w:abstractNumId w:val="0"/>
  </w:num>
  <w:num w:numId="10" w16cid:durableId="793132770">
    <w:abstractNumId w:val="6"/>
  </w:num>
  <w:num w:numId="11" w16cid:durableId="1086851412">
    <w:abstractNumId w:val="13"/>
  </w:num>
  <w:num w:numId="12" w16cid:durableId="1174303547">
    <w:abstractNumId w:val="3"/>
  </w:num>
  <w:num w:numId="13" w16cid:durableId="2100129948">
    <w:abstractNumId w:val="20"/>
  </w:num>
  <w:num w:numId="14" w16cid:durableId="1563324192">
    <w:abstractNumId w:val="16"/>
  </w:num>
  <w:num w:numId="15" w16cid:durableId="705569770">
    <w:abstractNumId w:val="18"/>
  </w:num>
  <w:num w:numId="16" w16cid:durableId="111291106">
    <w:abstractNumId w:val="5"/>
  </w:num>
  <w:num w:numId="17" w16cid:durableId="1952204828">
    <w:abstractNumId w:val="15"/>
  </w:num>
  <w:num w:numId="18" w16cid:durableId="467361020">
    <w:abstractNumId w:val="11"/>
  </w:num>
  <w:num w:numId="19" w16cid:durableId="1832141202">
    <w:abstractNumId w:val="14"/>
  </w:num>
  <w:num w:numId="20" w16cid:durableId="1039624216">
    <w:abstractNumId w:val="7"/>
  </w:num>
  <w:num w:numId="21" w16cid:durableId="659163590">
    <w:abstractNumId w:val="10"/>
  </w:num>
  <w:num w:numId="22" w16cid:durableId="2110006445">
    <w:abstractNumId w:val="12"/>
  </w:num>
  <w:num w:numId="23" w16cid:durableId="909928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6267"/>
    <w:rsid w:val="000270DE"/>
    <w:rsid w:val="00030CBE"/>
    <w:rsid w:val="000378A7"/>
    <w:rsid w:val="00040A75"/>
    <w:rsid w:val="000426F8"/>
    <w:rsid w:val="00043408"/>
    <w:rsid w:val="00045B7F"/>
    <w:rsid w:val="0005239B"/>
    <w:rsid w:val="00060AAA"/>
    <w:rsid w:val="00062F1F"/>
    <w:rsid w:val="00065CD7"/>
    <w:rsid w:val="00070A65"/>
    <w:rsid w:val="00074185"/>
    <w:rsid w:val="00075D79"/>
    <w:rsid w:val="00080F9A"/>
    <w:rsid w:val="0008695F"/>
    <w:rsid w:val="00087C5A"/>
    <w:rsid w:val="00091456"/>
    <w:rsid w:val="000A145A"/>
    <w:rsid w:val="000A6D66"/>
    <w:rsid w:val="000B2597"/>
    <w:rsid w:val="000B42C8"/>
    <w:rsid w:val="000B5BB8"/>
    <w:rsid w:val="000C1967"/>
    <w:rsid w:val="000C430A"/>
    <w:rsid w:val="000D295A"/>
    <w:rsid w:val="000D734F"/>
    <w:rsid w:val="000E3F2C"/>
    <w:rsid w:val="000E4EC0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22775"/>
    <w:rsid w:val="001230CD"/>
    <w:rsid w:val="00123D1C"/>
    <w:rsid w:val="00124778"/>
    <w:rsid w:val="001253A1"/>
    <w:rsid w:val="00127BEE"/>
    <w:rsid w:val="00131D75"/>
    <w:rsid w:val="00133576"/>
    <w:rsid w:val="00141CAA"/>
    <w:rsid w:val="00142AA0"/>
    <w:rsid w:val="0014353F"/>
    <w:rsid w:val="00144EE1"/>
    <w:rsid w:val="00145459"/>
    <w:rsid w:val="00151458"/>
    <w:rsid w:val="00152DE2"/>
    <w:rsid w:val="0015561F"/>
    <w:rsid w:val="00155F5D"/>
    <w:rsid w:val="00157180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7A6B"/>
    <w:rsid w:val="001A06B9"/>
    <w:rsid w:val="001A4918"/>
    <w:rsid w:val="001A5150"/>
    <w:rsid w:val="001A6855"/>
    <w:rsid w:val="001A7D3A"/>
    <w:rsid w:val="001B0556"/>
    <w:rsid w:val="001B1BD1"/>
    <w:rsid w:val="001C02E9"/>
    <w:rsid w:val="001C2893"/>
    <w:rsid w:val="001D26CA"/>
    <w:rsid w:val="001D432B"/>
    <w:rsid w:val="001D46CD"/>
    <w:rsid w:val="001D6F0C"/>
    <w:rsid w:val="001F250F"/>
    <w:rsid w:val="001F2866"/>
    <w:rsid w:val="001F41AE"/>
    <w:rsid w:val="001F7E64"/>
    <w:rsid w:val="002056E9"/>
    <w:rsid w:val="00206C9B"/>
    <w:rsid w:val="00212802"/>
    <w:rsid w:val="00214B24"/>
    <w:rsid w:val="0022388D"/>
    <w:rsid w:val="0022460D"/>
    <w:rsid w:val="002267A3"/>
    <w:rsid w:val="00232A86"/>
    <w:rsid w:val="00234973"/>
    <w:rsid w:val="00240195"/>
    <w:rsid w:val="00244973"/>
    <w:rsid w:val="00246C6F"/>
    <w:rsid w:val="00250221"/>
    <w:rsid w:val="0025147D"/>
    <w:rsid w:val="00254A49"/>
    <w:rsid w:val="00254B9D"/>
    <w:rsid w:val="002555B6"/>
    <w:rsid w:val="002579E5"/>
    <w:rsid w:val="0026034E"/>
    <w:rsid w:val="0026188F"/>
    <w:rsid w:val="002663A2"/>
    <w:rsid w:val="0026795E"/>
    <w:rsid w:val="002733C7"/>
    <w:rsid w:val="0027440F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359B"/>
    <w:rsid w:val="002A4F17"/>
    <w:rsid w:val="002B6EFC"/>
    <w:rsid w:val="002C2302"/>
    <w:rsid w:val="002C7453"/>
    <w:rsid w:val="002D134A"/>
    <w:rsid w:val="002D1D18"/>
    <w:rsid w:val="002D5E88"/>
    <w:rsid w:val="002D6FAD"/>
    <w:rsid w:val="002E0CDC"/>
    <w:rsid w:val="002E460E"/>
    <w:rsid w:val="002E5331"/>
    <w:rsid w:val="002F15BD"/>
    <w:rsid w:val="002F5B77"/>
    <w:rsid w:val="002F5D61"/>
    <w:rsid w:val="00302FCE"/>
    <w:rsid w:val="00312863"/>
    <w:rsid w:val="00314258"/>
    <w:rsid w:val="00315F53"/>
    <w:rsid w:val="003214C3"/>
    <w:rsid w:val="003217DF"/>
    <w:rsid w:val="00323759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6054F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E27D4"/>
    <w:rsid w:val="003E6DA1"/>
    <w:rsid w:val="003E6FCE"/>
    <w:rsid w:val="003F19FE"/>
    <w:rsid w:val="003F330C"/>
    <w:rsid w:val="003F578D"/>
    <w:rsid w:val="003F76C1"/>
    <w:rsid w:val="004010E2"/>
    <w:rsid w:val="0040246D"/>
    <w:rsid w:val="00406D43"/>
    <w:rsid w:val="0040767D"/>
    <w:rsid w:val="0041741F"/>
    <w:rsid w:val="00425870"/>
    <w:rsid w:val="004264AB"/>
    <w:rsid w:val="00430485"/>
    <w:rsid w:val="004315D1"/>
    <w:rsid w:val="004354F3"/>
    <w:rsid w:val="00436812"/>
    <w:rsid w:val="00442B70"/>
    <w:rsid w:val="00451821"/>
    <w:rsid w:val="00451868"/>
    <w:rsid w:val="004523EA"/>
    <w:rsid w:val="00461B13"/>
    <w:rsid w:val="0046442C"/>
    <w:rsid w:val="00466719"/>
    <w:rsid w:val="004729B0"/>
    <w:rsid w:val="004744E0"/>
    <w:rsid w:val="00475945"/>
    <w:rsid w:val="0048231F"/>
    <w:rsid w:val="004846DD"/>
    <w:rsid w:val="00484F1D"/>
    <w:rsid w:val="00486FEE"/>
    <w:rsid w:val="004B438B"/>
    <w:rsid w:val="004B4417"/>
    <w:rsid w:val="004C0587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420F"/>
    <w:rsid w:val="004F4588"/>
    <w:rsid w:val="004F6CF3"/>
    <w:rsid w:val="0050582C"/>
    <w:rsid w:val="00507647"/>
    <w:rsid w:val="00510ACB"/>
    <w:rsid w:val="00520C4B"/>
    <w:rsid w:val="00525BA2"/>
    <w:rsid w:val="005360E6"/>
    <w:rsid w:val="005400DC"/>
    <w:rsid w:val="0054694C"/>
    <w:rsid w:val="00547D16"/>
    <w:rsid w:val="005549D9"/>
    <w:rsid w:val="00556E29"/>
    <w:rsid w:val="00557BA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7DCB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2C1E"/>
    <w:rsid w:val="005E4120"/>
    <w:rsid w:val="005E4DB0"/>
    <w:rsid w:val="005E6CF4"/>
    <w:rsid w:val="005F075A"/>
    <w:rsid w:val="005F2E6D"/>
    <w:rsid w:val="005F3FD4"/>
    <w:rsid w:val="005F7BAE"/>
    <w:rsid w:val="00605546"/>
    <w:rsid w:val="00611516"/>
    <w:rsid w:val="0061396D"/>
    <w:rsid w:val="0061555F"/>
    <w:rsid w:val="00623464"/>
    <w:rsid w:val="00625AD9"/>
    <w:rsid w:val="0063277D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73CAB"/>
    <w:rsid w:val="00673F17"/>
    <w:rsid w:val="00674C1C"/>
    <w:rsid w:val="00676325"/>
    <w:rsid w:val="00680A06"/>
    <w:rsid w:val="00683AC5"/>
    <w:rsid w:val="00684E74"/>
    <w:rsid w:val="00690163"/>
    <w:rsid w:val="00692578"/>
    <w:rsid w:val="00693171"/>
    <w:rsid w:val="0069433B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3A7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6CCD"/>
    <w:rsid w:val="00777099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E7934"/>
    <w:rsid w:val="007F0AD9"/>
    <w:rsid w:val="007F31C2"/>
    <w:rsid w:val="008031A6"/>
    <w:rsid w:val="008035D8"/>
    <w:rsid w:val="008077F1"/>
    <w:rsid w:val="0081108F"/>
    <w:rsid w:val="008116DD"/>
    <w:rsid w:val="00815865"/>
    <w:rsid w:val="00821E0F"/>
    <w:rsid w:val="00821E6F"/>
    <w:rsid w:val="0082539A"/>
    <w:rsid w:val="0082600F"/>
    <w:rsid w:val="008261BD"/>
    <w:rsid w:val="008301AE"/>
    <w:rsid w:val="00831C99"/>
    <w:rsid w:val="00832EBF"/>
    <w:rsid w:val="0084396B"/>
    <w:rsid w:val="00852158"/>
    <w:rsid w:val="00855B62"/>
    <w:rsid w:val="00856EC7"/>
    <w:rsid w:val="00862633"/>
    <w:rsid w:val="008648A3"/>
    <w:rsid w:val="00864E24"/>
    <w:rsid w:val="00872E13"/>
    <w:rsid w:val="00886BB3"/>
    <w:rsid w:val="00890AE9"/>
    <w:rsid w:val="00891E89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F0B37"/>
    <w:rsid w:val="008F1EC6"/>
    <w:rsid w:val="008F2132"/>
    <w:rsid w:val="008F52B3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2672B"/>
    <w:rsid w:val="00937041"/>
    <w:rsid w:val="009456F5"/>
    <w:rsid w:val="00953BBF"/>
    <w:rsid w:val="00955C69"/>
    <w:rsid w:val="00955EA8"/>
    <w:rsid w:val="00960903"/>
    <w:rsid w:val="00960D76"/>
    <w:rsid w:val="00962A4D"/>
    <w:rsid w:val="00966734"/>
    <w:rsid w:val="0097187E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C33"/>
    <w:rsid w:val="009B1199"/>
    <w:rsid w:val="009B11A5"/>
    <w:rsid w:val="009B4E00"/>
    <w:rsid w:val="009B5647"/>
    <w:rsid w:val="009C1CDF"/>
    <w:rsid w:val="009C3762"/>
    <w:rsid w:val="009D1180"/>
    <w:rsid w:val="009D1AA5"/>
    <w:rsid w:val="009D25C4"/>
    <w:rsid w:val="009D3C3E"/>
    <w:rsid w:val="009D58D4"/>
    <w:rsid w:val="009E4435"/>
    <w:rsid w:val="009E470B"/>
    <w:rsid w:val="009E5CB3"/>
    <w:rsid w:val="009E6937"/>
    <w:rsid w:val="009E7BBF"/>
    <w:rsid w:val="009F077B"/>
    <w:rsid w:val="009F1573"/>
    <w:rsid w:val="009F4F44"/>
    <w:rsid w:val="009F7953"/>
    <w:rsid w:val="00A03220"/>
    <w:rsid w:val="00A03F96"/>
    <w:rsid w:val="00A07089"/>
    <w:rsid w:val="00A16F8A"/>
    <w:rsid w:val="00A17AA1"/>
    <w:rsid w:val="00A21BA5"/>
    <w:rsid w:val="00A2317F"/>
    <w:rsid w:val="00A30B31"/>
    <w:rsid w:val="00A34754"/>
    <w:rsid w:val="00A40891"/>
    <w:rsid w:val="00A40A3F"/>
    <w:rsid w:val="00A419BD"/>
    <w:rsid w:val="00A43EBA"/>
    <w:rsid w:val="00A54888"/>
    <w:rsid w:val="00A66E77"/>
    <w:rsid w:val="00A67106"/>
    <w:rsid w:val="00A71322"/>
    <w:rsid w:val="00A7223E"/>
    <w:rsid w:val="00A742EE"/>
    <w:rsid w:val="00A8082C"/>
    <w:rsid w:val="00A8100E"/>
    <w:rsid w:val="00A84439"/>
    <w:rsid w:val="00A911FE"/>
    <w:rsid w:val="00A9299F"/>
    <w:rsid w:val="00A95AE3"/>
    <w:rsid w:val="00A95BD9"/>
    <w:rsid w:val="00AA1CB5"/>
    <w:rsid w:val="00AA459E"/>
    <w:rsid w:val="00AA4A3B"/>
    <w:rsid w:val="00AA5602"/>
    <w:rsid w:val="00AB02E5"/>
    <w:rsid w:val="00AB0DA1"/>
    <w:rsid w:val="00AB2926"/>
    <w:rsid w:val="00AB58A6"/>
    <w:rsid w:val="00AB7114"/>
    <w:rsid w:val="00AC0985"/>
    <w:rsid w:val="00AC0DB7"/>
    <w:rsid w:val="00AD09E9"/>
    <w:rsid w:val="00AD385B"/>
    <w:rsid w:val="00AE0AE8"/>
    <w:rsid w:val="00AE10E4"/>
    <w:rsid w:val="00AE26BA"/>
    <w:rsid w:val="00AE296E"/>
    <w:rsid w:val="00AE3AE6"/>
    <w:rsid w:val="00AF1BA1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48A"/>
    <w:rsid w:val="00B51A2B"/>
    <w:rsid w:val="00B54042"/>
    <w:rsid w:val="00B540BE"/>
    <w:rsid w:val="00B552A5"/>
    <w:rsid w:val="00B55308"/>
    <w:rsid w:val="00B55721"/>
    <w:rsid w:val="00B610FB"/>
    <w:rsid w:val="00B65C8A"/>
    <w:rsid w:val="00B701CB"/>
    <w:rsid w:val="00B709C8"/>
    <w:rsid w:val="00B7633F"/>
    <w:rsid w:val="00B81A10"/>
    <w:rsid w:val="00B8653E"/>
    <w:rsid w:val="00B94985"/>
    <w:rsid w:val="00BB036F"/>
    <w:rsid w:val="00BB1196"/>
    <w:rsid w:val="00BB1D17"/>
    <w:rsid w:val="00BB5B97"/>
    <w:rsid w:val="00BC1C89"/>
    <w:rsid w:val="00BD1F96"/>
    <w:rsid w:val="00BD5F30"/>
    <w:rsid w:val="00BD5FF1"/>
    <w:rsid w:val="00BE1A8A"/>
    <w:rsid w:val="00BE2DDF"/>
    <w:rsid w:val="00BF5B16"/>
    <w:rsid w:val="00C0069B"/>
    <w:rsid w:val="00C022A4"/>
    <w:rsid w:val="00C02CD2"/>
    <w:rsid w:val="00C04712"/>
    <w:rsid w:val="00C10C12"/>
    <w:rsid w:val="00C11F95"/>
    <w:rsid w:val="00C14F91"/>
    <w:rsid w:val="00C166CE"/>
    <w:rsid w:val="00C210E9"/>
    <w:rsid w:val="00C24415"/>
    <w:rsid w:val="00C258A1"/>
    <w:rsid w:val="00C26061"/>
    <w:rsid w:val="00C275F6"/>
    <w:rsid w:val="00C32EE2"/>
    <w:rsid w:val="00C35E0E"/>
    <w:rsid w:val="00C44E51"/>
    <w:rsid w:val="00C47213"/>
    <w:rsid w:val="00C531A1"/>
    <w:rsid w:val="00C54BD5"/>
    <w:rsid w:val="00C55791"/>
    <w:rsid w:val="00C5795D"/>
    <w:rsid w:val="00C615AD"/>
    <w:rsid w:val="00C62411"/>
    <w:rsid w:val="00C62D20"/>
    <w:rsid w:val="00C64445"/>
    <w:rsid w:val="00C6627E"/>
    <w:rsid w:val="00C6777F"/>
    <w:rsid w:val="00C728C8"/>
    <w:rsid w:val="00C74CF4"/>
    <w:rsid w:val="00C75834"/>
    <w:rsid w:val="00C81248"/>
    <w:rsid w:val="00C8275A"/>
    <w:rsid w:val="00C8407A"/>
    <w:rsid w:val="00C85AE8"/>
    <w:rsid w:val="00C94416"/>
    <w:rsid w:val="00CA30A6"/>
    <w:rsid w:val="00CA741B"/>
    <w:rsid w:val="00CB36B5"/>
    <w:rsid w:val="00CC0AF8"/>
    <w:rsid w:val="00CD267F"/>
    <w:rsid w:val="00CD4414"/>
    <w:rsid w:val="00CD5A25"/>
    <w:rsid w:val="00CD71F5"/>
    <w:rsid w:val="00CD778D"/>
    <w:rsid w:val="00CE3200"/>
    <w:rsid w:val="00CE5195"/>
    <w:rsid w:val="00CE5251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37DBC"/>
    <w:rsid w:val="00D4219A"/>
    <w:rsid w:val="00D427D5"/>
    <w:rsid w:val="00D43813"/>
    <w:rsid w:val="00D45001"/>
    <w:rsid w:val="00D45644"/>
    <w:rsid w:val="00D47BA5"/>
    <w:rsid w:val="00D574EB"/>
    <w:rsid w:val="00D61BC8"/>
    <w:rsid w:val="00D63A3C"/>
    <w:rsid w:val="00D63F41"/>
    <w:rsid w:val="00D6506C"/>
    <w:rsid w:val="00D655FA"/>
    <w:rsid w:val="00D74B9D"/>
    <w:rsid w:val="00D752F3"/>
    <w:rsid w:val="00D82D70"/>
    <w:rsid w:val="00D91776"/>
    <w:rsid w:val="00D91A67"/>
    <w:rsid w:val="00D92F08"/>
    <w:rsid w:val="00D97F2C"/>
    <w:rsid w:val="00DA1C4D"/>
    <w:rsid w:val="00DA1F55"/>
    <w:rsid w:val="00DA490B"/>
    <w:rsid w:val="00DA50D5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69A4"/>
    <w:rsid w:val="00E05D99"/>
    <w:rsid w:val="00E105C4"/>
    <w:rsid w:val="00E10A3F"/>
    <w:rsid w:val="00E10BA8"/>
    <w:rsid w:val="00E16F93"/>
    <w:rsid w:val="00E200FB"/>
    <w:rsid w:val="00E23318"/>
    <w:rsid w:val="00E2649F"/>
    <w:rsid w:val="00E3337A"/>
    <w:rsid w:val="00E40B44"/>
    <w:rsid w:val="00E47BE0"/>
    <w:rsid w:val="00E55A19"/>
    <w:rsid w:val="00E56688"/>
    <w:rsid w:val="00E56D50"/>
    <w:rsid w:val="00E63AFB"/>
    <w:rsid w:val="00E6407D"/>
    <w:rsid w:val="00E65D9D"/>
    <w:rsid w:val="00E720D9"/>
    <w:rsid w:val="00E7566B"/>
    <w:rsid w:val="00E76AED"/>
    <w:rsid w:val="00E84818"/>
    <w:rsid w:val="00E84D6E"/>
    <w:rsid w:val="00E873EF"/>
    <w:rsid w:val="00E90745"/>
    <w:rsid w:val="00E94051"/>
    <w:rsid w:val="00E96ADD"/>
    <w:rsid w:val="00E96D8A"/>
    <w:rsid w:val="00E97237"/>
    <w:rsid w:val="00EA7B17"/>
    <w:rsid w:val="00EB0EE6"/>
    <w:rsid w:val="00EB3A1E"/>
    <w:rsid w:val="00EB7572"/>
    <w:rsid w:val="00EC2E7C"/>
    <w:rsid w:val="00EC2F5F"/>
    <w:rsid w:val="00EC3E37"/>
    <w:rsid w:val="00EC66DE"/>
    <w:rsid w:val="00ED79B6"/>
    <w:rsid w:val="00EE14AF"/>
    <w:rsid w:val="00EF13C4"/>
    <w:rsid w:val="00EF2AC7"/>
    <w:rsid w:val="00EF685B"/>
    <w:rsid w:val="00EF7B90"/>
    <w:rsid w:val="00F01744"/>
    <w:rsid w:val="00F01DFC"/>
    <w:rsid w:val="00F0229E"/>
    <w:rsid w:val="00F025F0"/>
    <w:rsid w:val="00F10436"/>
    <w:rsid w:val="00F14FDE"/>
    <w:rsid w:val="00F2323A"/>
    <w:rsid w:val="00F249B1"/>
    <w:rsid w:val="00F31C6E"/>
    <w:rsid w:val="00F3288B"/>
    <w:rsid w:val="00F3663A"/>
    <w:rsid w:val="00F46D10"/>
    <w:rsid w:val="00F51314"/>
    <w:rsid w:val="00F522CD"/>
    <w:rsid w:val="00F52B20"/>
    <w:rsid w:val="00F547AE"/>
    <w:rsid w:val="00F54E67"/>
    <w:rsid w:val="00F55061"/>
    <w:rsid w:val="00F56A8C"/>
    <w:rsid w:val="00F6002B"/>
    <w:rsid w:val="00F60963"/>
    <w:rsid w:val="00F61221"/>
    <w:rsid w:val="00F64BF2"/>
    <w:rsid w:val="00F66E00"/>
    <w:rsid w:val="00F6770D"/>
    <w:rsid w:val="00F67EED"/>
    <w:rsid w:val="00F70526"/>
    <w:rsid w:val="00F92D56"/>
    <w:rsid w:val="00F94470"/>
    <w:rsid w:val="00F97AF3"/>
    <w:rsid w:val="00F97C0C"/>
    <w:rsid w:val="00FA2042"/>
    <w:rsid w:val="00FB524A"/>
    <w:rsid w:val="00FB560E"/>
    <w:rsid w:val="00FB5D97"/>
    <w:rsid w:val="00FB644E"/>
    <w:rsid w:val="00FC1A0F"/>
    <w:rsid w:val="00FC4DBA"/>
    <w:rsid w:val="00FD2632"/>
    <w:rsid w:val="00FD3141"/>
    <w:rsid w:val="00FD6FC4"/>
    <w:rsid w:val="00FE0740"/>
    <w:rsid w:val="00FE07F2"/>
    <w:rsid w:val="00FE1A5E"/>
    <w:rsid w:val="00FE40D7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linkedin.com/company/zwiazek-polskiego-leasingu-z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asing.org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s://twitter.com/ZwiazekLeasingu" TargetMode="External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795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8</cp:revision>
  <dcterms:created xsi:type="dcterms:W3CDTF">2025-10-20T11:38:00Z</dcterms:created>
  <dcterms:modified xsi:type="dcterms:W3CDTF">2025-10-21T13:50:00Z</dcterms:modified>
</cp:coreProperties>
</file>