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3120D4" w:rsidRDefault="00133576" w:rsidP="003120D4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148C1196" w14:textId="77777777" w:rsidR="005E6FF1" w:rsidRPr="005E6FF1" w:rsidRDefault="005E6FF1" w:rsidP="005E6FF1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5E6FF1">
        <w:rPr>
          <w:rFonts w:cstheme="minorHAnsi"/>
          <w:b/>
          <w:bCs/>
          <w:color w:val="0070C0"/>
          <w:sz w:val="32"/>
          <w:szCs w:val="32"/>
        </w:rPr>
        <w:t xml:space="preserve">Branża </w:t>
      </w:r>
      <w:r w:rsidRPr="00054B09">
        <w:rPr>
          <w:rFonts w:cstheme="minorHAnsi"/>
          <w:b/>
          <w:bCs/>
          <w:color w:val="0070C0"/>
          <w:sz w:val="32"/>
          <w:szCs w:val="32"/>
        </w:rPr>
        <w:t>leasingowa</w:t>
      </w:r>
      <w:r w:rsidRPr="005E6FF1">
        <w:rPr>
          <w:rFonts w:cstheme="minorHAnsi"/>
          <w:b/>
          <w:bCs/>
          <w:color w:val="0070C0"/>
          <w:sz w:val="32"/>
          <w:szCs w:val="32"/>
        </w:rPr>
        <w:t xml:space="preserve"> zakończyła 2025 rok stabilnym wzrostem</w:t>
      </w:r>
    </w:p>
    <w:p w14:paraId="28154DBB" w14:textId="5F3A1395" w:rsidR="005E6FF1" w:rsidRPr="002C5C7C" w:rsidRDefault="005E6FF1" w:rsidP="002C5C7C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2C5C7C">
        <w:rPr>
          <w:rFonts w:ascii="Calibri" w:hAnsi="Calibri" w:cs="Calibri"/>
          <w:b/>
          <w:bCs/>
        </w:rPr>
        <w:t>Firmy leasingowe sfinansowały inwestycje przedsiębiorstw na kwotę 119,5 mld zł</w:t>
      </w:r>
    </w:p>
    <w:p w14:paraId="029790A3" w14:textId="77777777" w:rsidR="005E6FF1" w:rsidRPr="002C5C7C" w:rsidRDefault="005E6FF1" w:rsidP="002C5C7C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2C5C7C">
        <w:rPr>
          <w:rFonts w:ascii="Calibri" w:hAnsi="Calibri" w:cs="Calibri"/>
          <w:b/>
          <w:bCs/>
        </w:rPr>
        <w:t>Oznacza to wzrost rynku o 8,1 proc. r/r</w:t>
      </w:r>
    </w:p>
    <w:p w14:paraId="48647DA7" w14:textId="77777777" w:rsidR="00A24FC2" w:rsidRPr="002C5C7C" w:rsidRDefault="005E6FF1" w:rsidP="002C5C7C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2C5C7C">
        <w:rPr>
          <w:rFonts w:ascii="Calibri" w:hAnsi="Calibri" w:cs="Calibri"/>
          <w:b/>
          <w:bCs/>
        </w:rPr>
        <w:t>Prawie trzykrotnie wzrósł udział aut elektrycznych w nowych rejestracjach realizowanych przez firmy leasingu i wynajmu</w:t>
      </w:r>
    </w:p>
    <w:p w14:paraId="5C8B545F" w14:textId="65450730" w:rsidR="005E6FF1" w:rsidRPr="002C5C7C" w:rsidRDefault="005E6FF1" w:rsidP="002C5C7C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2C5C7C">
        <w:rPr>
          <w:rFonts w:ascii="Calibri" w:hAnsi="Calibri" w:cs="Calibri"/>
          <w:b/>
          <w:bCs/>
        </w:rPr>
        <w:t>ZPL szacuje, że w 2026 roku wartość inwestycji sfinansowanych przez branżę leasingową wzrośnie do 129,7 mld zł</w:t>
      </w:r>
    </w:p>
    <w:p w14:paraId="77C668C8" w14:textId="2D6A0B4B" w:rsidR="008A0225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5E6FF1">
        <w:rPr>
          <w:rFonts w:ascii="Calibri" w:hAnsi="Calibri" w:cs="Calibri"/>
          <w:b/>
          <w:bCs/>
          <w:sz w:val="20"/>
          <w:szCs w:val="20"/>
        </w:rPr>
        <w:t xml:space="preserve">Warszawa, 5 lutego 2026 r. </w:t>
      </w:r>
      <w:r w:rsidR="00485DF4">
        <w:rPr>
          <w:rFonts w:ascii="Calibri" w:hAnsi="Calibri" w:cs="Calibri"/>
          <w:b/>
          <w:bCs/>
          <w:sz w:val="20"/>
          <w:szCs w:val="20"/>
        </w:rPr>
        <w:t xml:space="preserve">- </w:t>
      </w:r>
      <w:r w:rsidR="001452BD" w:rsidRPr="001452BD">
        <w:rPr>
          <w:rFonts w:ascii="Calibri" w:hAnsi="Calibri" w:cs="Calibri"/>
          <w:sz w:val="20"/>
          <w:szCs w:val="20"/>
        </w:rPr>
        <w:t>Branża leasingowa zakończyła 2025 rok wzrostem wartości inwestycji realizowanych z wykorzystaniem leasingu</w:t>
      </w:r>
      <w:r w:rsidR="004A7C2A">
        <w:rPr>
          <w:rFonts w:ascii="Calibri" w:hAnsi="Calibri" w:cs="Calibri"/>
          <w:sz w:val="20"/>
          <w:szCs w:val="20"/>
        </w:rPr>
        <w:t xml:space="preserve"> i pożyczki leasingowej</w:t>
      </w:r>
      <w:r w:rsidR="001452BD" w:rsidRPr="001452BD">
        <w:rPr>
          <w:rFonts w:ascii="Calibri" w:hAnsi="Calibri" w:cs="Calibri"/>
          <w:sz w:val="20"/>
          <w:szCs w:val="20"/>
        </w:rPr>
        <w:t>. Ich łączna wartość wyniosła 119,5 mld zł, co oznacza wzrost rynku o 8,1 proc. rok do roku.</w:t>
      </w:r>
    </w:p>
    <w:p w14:paraId="303BAB37" w14:textId="056542D2" w:rsidR="005E6FF1" w:rsidRDefault="008A0225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8A0225">
        <w:rPr>
          <w:rFonts w:ascii="Calibri" w:hAnsi="Calibri" w:cs="Calibri"/>
          <w:sz w:val="20"/>
          <w:szCs w:val="20"/>
        </w:rPr>
        <w:t xml:space="preserve">– </w:t>
      </w:r>
      <w:r w:rsidRPr="008A0225">
        <w:rPr>
          <w:rFonts w:ascii="Calibri" w:hAnsi="Calibri" w:cs="Calibri"/>
          <w:i/>
          <w:iCs/>
          <w:sz w:val="20"/>
          <w:szCs w:val="20"/>
        </w:rPr>
        <w:t xml:space="preserve">Fakt, że rynek leasingu </w:t>
      </w:r>
      <w:r w:rsidR="00394118">
        <w:rPr>
          <w:rFonts w:ascii="Calibri" w:hAnsi="Calibri" w:cs="Calibri"/>
          <w:i/>
          <w:iCs/>
          <w:sz w:val="20"/>
          <w:szCs w:val="20"/>
        </w:rPr>
        <w:t xml:space="preserve">dalej </w:t>
      </w:r>
      <w:r w:rsidRPr="008A0225">
        <w:rPr>
          <w:rFonts w:ascii="Calibri" w:hAnsi="Calibri" w:cs="Calibri"/>
          <w:i/>
          <w:iCs/>
          <w:sz w:val="20"/>
          <w:szCs w:val="20"/>
        </w:rPr>
        <w:t>rośnie szybciej niż PKB, pokazuje, jak ważną rolę pełni leasing w realizacji inwestycji przedsiębiorstw</w:t>
      </w:r>
      <w:r w:rsidRPr="008A0225">
        <w:rPr>
          <w:rFonts w:ascii="Calibri" w:hAnsi="Calibri" w:cs="Calibri"/>
          <w:sz w:val="20"/>
          <w:szCs w:val="20"/>
        </w:rPr>
        <w:t xml:space="preserve"> – podkreśla </w:t>
      </w:r>
      <w:r w:rsidRPr="008A0225">
        <w:rPr>
          <w:rFonts w:ascii="Calibri" w:hAnsi="Calibri" w:cs="Calibri"/>
          <w:b/>
          <w:bCs/>
          <w:sz w:val="20"/>
          <w:szCs w:val="20"/>
        </w:rPr>
        <w:t>Monika Constant</w:t>
      </w:r>
      <w:r w:rsidRPr="008A0225">
        <w:rPr>
          <w:rFonts w:ascii="Calibri" w:hAnsi="Calibri" w:cs="Calibri"/>
          <w:sz w:val="20"/>
          <w:szCs w:val="20"/>
        </w:rPr>
        <w:t xml:space="preserve">, prezeska </w:t>
      </w:r>
      <w:r w:rsidRPr="00A24FC2">
        <w:rPr>
          <w:rFonts w:ascii="Calibri" w:hAnsi="Calibri" w:cs="Calibri"/>
          <w:sz w:val="20"/>
          <w:szCs w:val="20"/>
        </w:rPr>
        <w:t>Związku Polskiego Leasingu</w:t>
      </w:r>
      <w:r>
        <w:rPr>
          <w:rFonts w:ascii="Calibri" w:hAnsi="Calibri" w:cs="Calibri"/>
          <w:sz w:val="20"/>
          <w:szCs w:val="20"/>
        </w:rPr>
        <w:t xml:space="preserve">. </w:t>
      </w:r>
      <w:r w:rsidR="005E6FF1" w:rsidRPr="00A24FC2">
        <w:rPr>
          <w:rFonts w:ascii="Calibri" w:hAnsi="Calibri" w:cs="Calibri"/>
          <w:sz w:val="20"/>
          <w:szCs w:val="20"/>
        </w:rPr>
        <w:t xml:space="preserve">– </w:t>
      </w:r>
      <w:r w:rsidR="005E6FF1" w:rsidRPr="001416AC">
        <w:rPr>
          <w:rFonts w:ascii="Calibri" w:hAnsi="Calibri" w:cs="Calibri"/>
          <w:i/>
          <w:iCs/>
          <w:sz w:val="20"/>
          <w:szCs w:val="20"/>
        </w:rPr>
        <w:t xml:space="preserve">2025 rok był okresem stabilnego wzrostu rynku leasingu, przy wyraźnym zróżnicowaniu wyników pomiędzy głównymi </w:t>
      </w:r>
      <w:r w:rsidR="004A7C2A">
        <w:rPr>
          <w:rFonts w:ascii="Calibri" w:hAnsi="Calibri" w:cs="Calibri"/>
          <w:i/>
          <w:iCs/>
          <w:sz w:val="20"/>
          <w:szCs w:val="20"/>
        </w:rPr>
        <w:t xml:space="preserve">jego </w:t>
      </w:r>
      <w:r w:rsidR="005E6FF1" w:rsidRPr="001416AC">
        <w:rPr>
          <w:rFonts w:ascii="Calibri" w:hAnsi="Calibri" w:cs="Calibri"/>
          <w:i/>
          <w:iCs/>
          <w:sz w:val="20"/>
          <w:szCs w:val="20"/>
        </w:rPr>
        <w:t>segmentami. Najsilniejszym motorem wzrostu było finansowanie pojazdów lekkich, które odpowiadało za największą część nowego finansowania. Otoczenie makroekonomiczne pozostawało wymagające, jednak w drugiej połowie roku widoczne było stopniowe ożywienie w przemyśle i transporcie, co przełożyło się na wyniki branży</w:t>
      </w:r>
      <w:r w:rsidR="005E6FF1" w:rsidRPr="00A24FC2">
        <w:rPr>
          <w:rFonts w:ascii="Calibri" w:hAnsi="Calibri" w:cs="Calibri"/>
          <w:sz w:val="20"/>
          <w:szCs w:val="20"/>
        </w:rPr>
        <w:t xml:space="preserve"> – </w:t>
      </w:r>
      <w:r>
        <w:rPr>
          <w:rFonts w:ascii="Calibri" w:hAnsi="Calibri" w:cs="Calibri"/>
          <w:sz w:val="20"/>
          <w:szCs w:val="20"/>
        </w:rPr>
        <w:t>dodaje.</w:t>
      </w:r>
    </w:p>
    <w:p w14:paraId="4FF5F2AE" w14:textId="39494B9C" w:rsidR="000230B3" w:rsidRPr="00A24FC2" w:rsidRDefault="001B37C5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4BE66B33" wp14:editId="0EBF446E">
            <wp:extent cx="5759450" cy="3676650"/>
            <wp:effectExtent l="0" t="0" r="0" b="0"/>
            <wp:docPr id="1882248064" name="Obraz 1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248064" name="Obraz 1" descr="Obraz zawierający tekst, zrzut ekranu, Czcionka, diagram&#10;&#10;Zawartość wygenerowana przez AI może być niepoprawna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43099" w14:textId="0C3C1F79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lastRenderedPageBreak/>
        <w:t xml:space="preserve">Zdecydowanie szybciej niż leasing rosło finansowanie pożyczką </w:t>
      </w:r>
      <w:r w:rsidR="00560F08">
        <w:rPr>
          <w:rFonts w:ascii="Calibri" w:hAnsi="Calibri" w:cs="Calibri"/>
          <w:sz w:val="20"/>
          <w:szCs w:val="20"/>
        </w:rPr>
        <w:t>leasingową</w:t>
      </w:r>
      <w:r w:rsidRPr="00A24FC2">
        <w:rPr>
          <w:rFonts w:ascii="Calibri" w:hAnsi="Calibri" w:cs="Calibri"/>
          <w:sz w:val="20"/>
          <w:szCs w:val="20"/>
        </w:rPr>
        <w:t>. W 2025 roku je</w:t>
      </w:r>
      <w:r w:rsidR="00716743">
        <w:rPr>
          <w:rFonts w:ascii="Calibri" w:hAnsi="Calibri" w:cs="Calibri"/>
          <w:sz w:val="20"/>
          <w:szCs w:val="20"/>
        </w:rPr>
        <w:t>j</w:t>
      </w:r>
      <w:r w:rsidRPr="00A24FC2">
        <w:rPr>
          <w:rFonts w:ascii="Calibri" w:hAnsi="Calibri" w:cs="Calibri"/>
          <w:sz w:val="20"/>
          <w:szCs w:val="20"/>
        </w:rPr>
        <w:t xml:space="preserve"> wartość wzrosła o 27,1 proc., do 17,3 mld zł. Leasing pozostawał jednak dominującą formą finansowania – wartość sfinansowa</w:t>
      </w:r>
      <w:r w:rsidR="00BB00F0">
        <w:rPr>
          <w:rFonts w:ascii="Calibri" w:hAnsi="Calibri" w:cs="Calibri"/>
          <w:sz w:val="20"/>
          <w:szCs w:val="20"/>
        </w:rPr>
        <w:t>nych</w:t>
      </w:r>
      <w:r w:rsidRPr="00A24FC2">
        <w:rPr>
          <w:rFonts w:ascii="Calibri" w:hAnsi="Calibri" w:cs="Calibri"/>
          <w:sz w:val="20"/>
          <w:szCs w:val="20"/>
        </w:rPr>
        <w:t xml:space="preserve"> w ten sposób </w:t>
      </w:r>
      <w:r w:rsidR="003133C9">
        <w:rPr>
          <w:rFonts w:ascii="Calibri" w:hAnsi="Calibri" w:cs="Calibri"/>
          <w:sz w:val="20"/>
          <w:szCs w:val="20"/>
        </w:rPr>
        <w:t>aktywów</w:t>
      </w:r>
      <w:r w:rsidRPr="00A24FC2">
        <w:rPr>
          <w:rFonts w:ascii="Calibri" w:hAnsi="Calibri" w:cs="Calibri"/>
          <w:sz w:val="20"/>
          <w:szCs w:val="20"/>
        </w:rPr>
        <w:t xml:space="preserve"> wyniosła 102,1 mld zł, co oznacza wzrost o 5,5 proc. r/r.</w:t>
      </w:r>
    </w:p>
    <w:p w14:paraId="136952B3" w14:textId="4E7AEAA5" w:rsidR="005E6FF1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Leasing pozostaje przede wszystkim narzędziem finansowania sektora MŚP. W 2025 roku mikro, małe i średnie przedsiębiorstwa odpowiadały za 70,9 proc. </w:t>
      </w:r>
      <w:r w:rsidR="00774D07">
        <w:rPr>
          <w:rFonts w:ascii="Calibri" w:hAnsi="Calibri" w:cs="Calibri"/>
          <w:sz w:val="20"/>
          <w:szCs w:val="20"/>
        </w:rPr>
        <w:t>sfinansowanych inwestycji</w:t>
      </w:r>
      <w:r w:rsidRPr="00A24FC2">
        <w:rPr>
          <w:rFonts w:ascii="Calibri" w:hAnsi="Calibri" w:cs="Calibri"/>
          <w:sz w:val="20"/>
          <w:szCs w:val="20"/>
        </w:rPr>
        <w:t>, co potwierdza istotną rolę branży we wspieraniu rozwoju firm o mniejszej skali działalności.</w:t>
      </w:r>
    </w:p>
    <w:p w14:paraId="4EFB1265" w14:textId="683EAB2A" w:rsidR="001B37C5" w:rsidRPr="00A24FC2" w:rsidRDefault="001B37C5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4739522F" wp14:editId="6AD3B50B">
            <wp:extent cx="5759450" cy="3551555"/>
            <wp:effectExtent l="0" t="0" r="0" b="0"/>
            <wp:docPr id="152597578" name="Obraz 2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7578" name="Obraz 2" descr="Obraz zawierający tekst, zrzut ekranu, Czcionka, diagram&#10;&#10;Zawartość wygenerowana przez AI może być niepopraw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93FE1" w14:textId="77777777" w:rsidR="00054B09" w:rsidRPr="00054B09" w:rsidRDefault="00054B09" w:rsidP="005E6FF1">
      <w:pPr>
        <w:spacing w:before="240" w:after="24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054B09">
        <w:rPr>
          <w:rFonts w:ascii="Calibri" w:hAnsi="Calibri" w:cs="Calibri"/>
          <w:b/>
          <w:bCs/>
          <w:color w:val="0070C0"/>
          <w:sz w:val="20"/>
          <w:szCs w:val="20"/>
        </w:rPr>
        <w:t>Pojazdy w centrum finansowania</w:t>
      </w:r>
    </w:p>
    <w:p w14:paraId="03113CBF" w14:textId="5C6BE9D9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W strukturze sfinansowanych inwestycji w 2025 roku dominowały pojazdy, których udział wyniósł </w:t>
      </w:r>
      <w:r w:rsidR="00AC2C1C">
        <w:rPr>
          <w:rFonts w:ascii="Calibri" w:hAnsi="Calibri" w:cs="Calibri"/>
          <w:sz w:val="20"/>
          <w:szCs w:val="20"/>
        </w:rPr>
        <w:t>73,8</w:t>
      </w:r>
      <w:r w:rsidRPr="00A24FC2">
        <w:rPr>
          <w:rFonts w:ascii="Calibri" w:hAnsi="Calibri" w:cs="Calibri"/>
          <w:sz w:val="20"/>
          <w:szCs w:val="20"/>
        </w:rPr>
        <w:t xml:space="preserve"> proc.</w:t>
      </w:r>
      <w:r w:rsidR="00716743">
        <w:rPr>
          <w:rFonts w:ascii="Calibri" w:hAnsi="Calibri" w:cs="Calibri"/>
          <w:sz w:val="20"/>
          <w:szCs w:val="20"/>
        </w:rPr>
        <w:t>, w tym pojazdy lekkie stanowiły 56,4 proc.</w:t>
      </w:r>
    </w:p>
    <w:p w14:paraId="47542468" w14:textId="15D7E4CA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– 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Finansowanie pojazdów lekkich było głównym motorem całego rynku leasingu w 2025 roku – jego wartość wzrosła o 11,6 proc. r/r do 67,4 mld zł. Wyraźnie zwiększyła się liczba sfinansowanych pojazdów, przy jednoczesnym nieznacznym spadku średniej wartości transakcji. Z finansowania pojazdów lekkich w największym stopniu korzystają najmniejsze firmy, a coraz wyraźniej zaznacza się także leasing konsumencki, który w 2025 roku osiągnął 4,1 proc. udziału </w:t>
      </w:r>
      <w:r w:rsidRPr="00A24FC2">
        <w:rPr>
          <w:rFonts w:ascii="Calibri" w:hAnsi="Calibri" w:cs="Calibri"/>
          <w:sz w:val="20"/>
          <w:szCs w:val="20"/>
        </w:rPr>
        <w:t xml:space="preserve">– podkreśla </w:t>
      </w:r>
      <w:r w:rsidRPr="0054107B">
        <w:rPr>
          <w:rFonts w:ascii="Calibri" w:hAnsi="Calibri" w:cs="Calibri"/>
          <w:b/>
          <w:bCs/>
          <w:sz w:val="20"/>
          <w:szCs w:val="20"/>
        </w:rPr>
        <w:t>Marcin Nieplowicz,</w:t>
      </w:r>
      <w:r w:rsidRPr="00A24FC2">
        <w:rPr>
          <w:rFonts w:ascii="Calibri" w:hAnsi="Calibri" w:cs="Calibri"/>
          <w:sz w:val="20"/>
          <w:szCs w:val="20"/>
        </w:rPr>
        <w:t xml:space="preserve"> główny ekonomista EFL i Z</w:t>
      </w:r>
      <w:r w:rsidR="001F1650">
        <w:rPr>
          <w:rFonts w:ascii="Calibri" w:hAnsi="Calibri" w:cs="Calibri"/>
          <w:sz w:val="20"/>
          <w:szCs w:val="20"/>
        </w:rPr>
        <w:t xml:space="preserve">wiązku </w:t>
      </w:r>
      <w:r w:rsidRPr="00A24FC2">
        <w:rPr>
          <w:rFonts w:ascii="Calibri" w:hAnsi="Calibri" w:cs="Calibri"/>
          <w:sz w:val="20"/>
          <w:szCs w:val="20"/>
        </w:rPr>
        <w:t>P</w:t>
      </w:r>
      <w:r w:rsidR="001F1650">
        <w:rPr>
          <w:rFonts w:ascii="Calibri" w:hAnsi="Calibri" w:cs="Calibri"/>
          <w:sz w:val="20"/>
          <w:szCs w:val="20"/>
        </w:rPr>
        <w:t xml:space="preserve">olskiego </w:t>
      </w:r>
      <w:r w:rsidRPr="00A24FC2">
        <w:rPr>
          <w:rFonts w:ascii="Calibri" w:hAnsi="Calibri" w:cs="Calibri"/>
          <w:sz w:val="20"/>
          <w:szCs w:val="20"/>
        </w:rPr>
        <w:t>L</w:t>
      </w:r>
      <w:r w:rsidR="001F1650">
        <w:rPr>
          <w:rFonts w:ascii="Calibri" w:hAnsi="Calibri" w:cs="Calibri"/>
          <w:sz w:val="20"/>
          <w:szCs w:val="20"/>
        </w:rPr>
        <w:t>easingu</w:t>
      </w:r>
      <w:r w:rsidRPr="00A24FC2">
        <w:rPr>
          <w:rFonts w:ascii="Calibri" w:hAnsi="Calibri" w:cs="Calibri"/>
          <w:sz w:val="20"/>
          <w:szCs w:val="20"/>
        </w:rPr>
        <w:t>.</w:t>
      </w:r>
    </w:p>
    <w:p w14:paraId="02058C65" w14:textId="77777777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>Wpływ na ten trend miał także program NaszEauto – rządowy system dofinansowań do zakupu, leasingu lub wynajmu długoterminowego nowych samochodów elektrycznych, realizowany przez Narodowy Fundusz Ochrony Środowiska i Gospodarki Wodnej oraz Ministerstwo Klimatu i Środowiska w ramach Krajowego Planu Odbudowy. Program wystartował na początku lutego 2025 r., a już w styczniu 2026 r. jego budżet został wyczerpany. Łączna wartość złożonych wniosków o dofinansowanie przekroczyła 1,18 mld zł.</w:t>
      </w:r>
    </w:p>
    <w:p w14:paraId="29E7A44F" w14:textId="77777777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lastRenderedPageBreak/>
        <w:t xml:space="preserve">– </w:t>
      </w:r>
      <w:r w:rsidRPr="0054107B">
        <w:rPr>
          <w:rFonts w:ascii="Calibri" w:hAnsi="Calibri" w:cs="Calibri"/>
          <w:i/>
          <w:iCs/>
          <w:sz w:val="20"/>
          <w:szCs w:val="20"/>
        </w:rPr>
        <w:t>Dominującą formą finansowania pojazdów objętych wnioskami był leasing i wynajem, które przeważały nad zakupem bezpośrednim. Ich udział sięgnął prawie 80 proc. Podobnie było w przypadku wcześniejszego programu „Mój elektryk”. To potwierdza istotną rolę leasingu w procesie elektryfikacji transportu</w:t>
      </w:r>
      <w:r w:rsidRPr="00A24FC2">
        <w:rPr>
          <w:rFonts w:ascii="Calibri" w:hAnsi="Calibri" w:cs="Calibri"/>
          <w:sz w:val="20"/>
          <w:szCs w:val="20"/>
        </w:rPr>
        <w:t xml:space="preserve"> – mówi </w:t>
      </w:r>
      <w:r w:rsidRPr="0054107B">
        <w:rPr>
          <w:rFonts w:ascii="Calibri" w:hAnsi="Calibri" w:cs="Calibri"/>
          <w:b/>
          <w:bCs/>
          <w:sz w:val="20"/>
          <w:szCs w:val="20"/>
        </w:rPr>
        <w:t>Monika Constant</w:t>
      </w:r>
      <w:r w:rsidRPr="00A24FC2">
        <w:rPr>
          <w:rFonts w:ascii="Calibri" w:hAnsi="Calibri" w:cs="Calibri"/>
          <w:sz w:val="20"/>
          <w:szCs w:val="20"/>
        </w:rPr>
        <w:t>.</w:t>
      </w:r>
    </w:p>
    <w:p w14:paraId="01071AC5" w14:textId="6DD134E4" w:rsidR="00251977" w:rsidRPr="00251977" w:rsidRDefault="00251977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51977">
        <w:rPr>
          <w:rFonts w:ascii="Calibri" w:hAnsi="Calibri" w:cs="Calibri"/>
          <w:sz w:val="20"/>
          <w:szCs w:val="20"/>
        </w:rPr>
        <w:t>Dodatkowym impulsem dla elektryfikacji flot w kolejnych miesiącach mogą okazać się zmiany podatkowe obowiązujące od 1 stycznia 2026 r., które obniżyły limit zaliczania wydatków w koszty dla aut spalinowych do 100 tys. zł, przy jednoczesnym utrzymaniu limitu 225 tys. zł dla pojazdów elektrycznych, co znacząco poprawia ich opłacalność w leasingu.</w:t>
      </w:r>
    </w:p>
    <w:p w14:paraId="36972539" w14:textId="0E30CBCC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Jak wynika z danych Polskiego Związku Przemysłu Motoryzacyjnego (PZPM), udział aut elektrycznych w nowych rejestracjach realizowanych przez firmy leasingu i wynajmu wzrósł w 2025 roku prawie trzykrotnie, do ponad 29 tys. pojazdów. Leasing i wynajem odpowiadały </w:t>
      </w:r>
      <w:r w:rsidR="0054107B">
        <w:rPr>
          <w:rFonts w:ascii="Calibri" w:hAnsi="Calibri" w:cs="Calibri"/>
          <w:sz w:val="20"/>
          <w:szCs w:val="20"/>
        </w:rPr>
        <w:t xml:space="preserve">w sumie </w:t>
      </w:r>
      <w:r w:rsidRPr="00A24FC2">
        <w:rPr>
          <w:rFonts w:ascii="Calibri" w:hAnsi="Calibri" w:cs="Calibri"/>
          <w:sz w:val="20"/>
          <w:szCs w:val="20"/>
        </w:rPr>
        <w:t>w 2025 roku za rejestrację co drugiego nowego auta.</w:t>
      </w:r>
    </w:p>
    <w:p w14:paraId="5F7BC0DD" w14:textId="77777777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– 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Po siedmiu kwartałach spadków finansowanie pojazdów ciężarowych wróciło na dodatnią ścieżkę wzrostu w II kwartale 2025 roku. W całym roku jego wartość wzrosła o 4,4 proc. r/r do 19,7 mld zł. Odbicie gospodarcze w strefie euro, zwłaszcza w przemyśle, zaczęło przekładać się na poprawę nastrojów i aktywności firm transportowych. W segmencie pojazdów ciężkich rośnie znaczenie pożyczki inwestycyjnej, a udział finansowania sprzętu używanego pozostaje relatywnie wysoki </w:t>
      </w:r>
      <w:r w:rsidRPr="00A24FC2">
        <w:rPr>
          <w:rFonts w:ascii="Calibri" w:hAnsi="Calibri" w:cs="Calibri"/>
          <w:sz w:val="20"/>
          <w:szCs w:val="20"/>
        </w:rPr>
        <w:t xml:space="preserve">– ocenia </w:t>
      </w:r>
      <w:r w:rsidRPr="0054107B">
        <w:rPr>
          <w:rFonts w:ascii="Calibri" w:hAnsi="Calibri" w:cs="Calibri"/>
          <w:b/>
          <w:bCs/>
          <w:sz w:val="20"/>
          <w:szCs w:val="20"/>
        </w:rPr>
        <w:t>Marcin Nieplowicz</w:t>
      </w:r>
      <w:r w:rsidRPr="00A24FC2">
        <w:rPr>
          <w:rFonts w:ascii="Calibri" w:hAnsi="Calibri" w:cs="Calibri"/>
          <w:sz w:val="20"/>
          <w:szCs w:val="20"/>
        </w:rPr>
        <w:t>.</w:t>
      </w:r>
    </w:p>
    <w:p w14:paraId="29A2D13A" w14:textId="77777777" w:rsidR="005E6FF1" w:rsidRPr="00054B09" w:rsidRDefault="005E6FF1" w:rsidP="005E6FF1">
      <w:pPr>
        <w:spacing w:before="240" w:after="24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054B09">
        <w:rPr>
          <w:rFonts w:ascii="Calibri" w:hAnsi="Calibri" w:cs="Calibri"/>
          <w:b/>
          <w:bCs/>
          <w:color w:val="0070C0"/>
          <w:sz w:val="20"/>
          <w:szCs w:val="20"/>
        </w:rPr>
        <w:t>Silna pozycja segmentu agro</w:t>
      </w:r>
    </w:p>
    <w:p w14:paraId="664169F8" w14:textId="25C083FF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Finansowanie maszyn i urządzeń odpowiadało za 22,3 proc. wartości rynku </w:t>
      </w:r>
      <w:r w:rsidR="0054107B">
        <w:rPr>
          <w:rFonts w:ascii="Calibri" w:hAnsi="Calibri" w:cs="Calibri"/>
          <w:sz w:val="20"/>
          <w:szCs w:val="20"/>
        </w:rPr>
        <w:t xml:space="preserve">leasingu </w:t>
      </w:r>
      <w:r w:rsidRPr="00A24FC2">
        <w:rPr>
          <w:rFonts w:ascii="Calibri" w:hAnsi="Calibri" w:cs="Calibri"/>
          <w:sz w:val="20"/>
          <w:szCs w:val="20"/>
        </w:rPr>
        <w:t>w 2025 roku. Segment ten rósł wolniej niż pozostałe</w:t>
      </w:r>
      <w:r w:rsidR="0054107B">
        <w:rPr>
          <w:rFonts w:ascii="Calibri" w:hAnsi="Calibri" w:cs="Calibri"/>
          <w:sz w:val="20"/>
          <w:szCs w:val="20"/>
        </w:rPr>
        <w:t xml:space="preserve"> jego</w:t>
      </w:r>
      <w:r w:rsidRPr="00A24FC2">
        <w:rPr>
          <w:rFonts w:ascii="Calibri" w:hAnsi="Calibri" w:cs="Calibri"/>
          <w:sz w:val="20"/>
          <w:szCs w:val="20"/>
        </w:rPr>
        <w:t xml:space="preserve"> części – wartość zwiększyła się o 1,7 proc. r/r do 26,7 mld zł. Wynik ten był w dużej mierze oparty na bardzo silnym wzroście segmentu agro, który zwiększył się o 24,5 proc.</w:t>
      </w:r>
      <w:r w:rsidR="00B81E5C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, do 7,5 mld zł, przy jednoczesnych spadkach w finansowaniu maszyn budowlanych (–9,8 proc.</w:t>
      </w:r>
      <w:r w:rsidR="00B81E5C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, do 4,8 mld zł). Maszyny rolnicze stanowiły 28 proc. wartości portfela maszyn i urządzeń.</w:t>
      </w:r>
    </w:p>
    <w:p w14:paraId="768B4F5E" w14:textId="77777777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– </w:t>
      </w:r>
      <w:r w:rsidRPr="0054107B">
        <w:rPr>
          <w:rFonts w:ascii="Calibri" w:hAnsi="Calibri" w:cs="Calibri"/>
          <w:i/>
          <w:iCs/>
          <w:sz w:val="20"/>
          <w:szCs w:val="20"/>
        </w:rPr>
        <w:t>Mimo umiarkowanego wzrostu wartości rynku liczba transakcji w finansowaniu maszyn istotnie wzrosła, przy spadku średniej wartości pojedynczej transakcji. Maszyny znacznie częściej niż pojazdy są finansowane pożyczką, a jej udział w 2025 roku wyraźnie wzrósł</w:t>
      </w:r>
      <w:r w:rsidRPr="00A24FC2">
        <w:rPr>
          <w:rFonts w:ascii="Calibri" w:hAnsi="Calibri" w:cs="Calibri"/>
          <w:sz w:val="20"/>
          <w:szCs w:val="20"/>
        </w:rPr>
        <w:t xml:space="preserve"> – mówi </w:t>
      </w:r>
      <w:r w:rsidRPr="0054107B">
        <w:rPr>
          <w:rFonts w:ascii="Calibri" w:hAnsi="Calibri" w:cs="Calibri"/>
          <w:b/>
          <w:bCs/>
          <w:sz w:val="20"/>
          <w:szCs w:val="20"/>
        </w:rPr>
        <w:t>Marcin Nieplowicz</w:t>
      </w:r>
      <w:r w:rsidRPr="00A24FC2">
        <w:rPr>
          <w:rFonts w:ascii="Calibri" w:hAnsi="Calibri" w:cs="Calibri"/>
          <w:sz w:val="20"/>
          <w:szCs w:val="20"/>
        </w:rPr>
        <w:t>.</w:t>
      </w:r>
    </w:p>
    <w:p w14:paraId="5970C827" w14:textId="77777777" w:rsidR="005E6FF1" w:rsidRPr="0054107B" w:rsidRDefault="005E6FF1" w:rsidP="00054B09">
      <w:pPr>
        <w:spacing w:before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4107B">
        <w:rPr>
          <w:rFonts w:ascii="Calibri" w:hAnsi="Calibri" w:cs="Calibri"/>
          <w:b/>
          <w:bCs/>
          <w:sz w:val="20"/>
          <w:szCs w:val="20"/>
        </w:rPr>
        <w:t>Finansowanie w podziale na aktywa:</w:t>
      </w:r>
    </w:p>
    <w:p w14:paraId="1EE5E1E1" w14:textId="4A380B1C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• </w:t>
      </w:r>
      <w:r w:rsidRPr="0054107B">
        <w:rPr>
          <w:rFonts w:ascii="Calibri" w:hAnsi="Calibri" w:cs="Calibri"/>
          <w:b/>
          <w:bCs/>
          <w:sz w:val="20"/>
          <w:szCs w:val="20"/>
        </w:rPr>
        <w:t>Pojazdy</w:t>
      </w:r>
      <w:r w:rsidRPr="00A24FC2">
        <w:rPr>
          <w:rFonts w:ascii="Calibri" w:hAnsi="Calibri" w:cs="Calibri"/>
          <w:sz w:val="20"/>
          <w:szCs w:val="20"/>
        </w:rPr>
        <w:t xml:space="preserve"> – 88,</w:t>
      </w:r>
      <w:r w:rsidR="009C78BF">
        <w:rPr>
          <w:rFonts w:ascii="Calibri" w:hAnsi="Calibri" w:cs="Calibri"/>
          <w:sz w:val="20"/>
          <w:szCs w:val="20"/>
        </w:rPr>
        <w:t>1</w:t>
      </w:r>
      <w:r w:rsidRPr="00A24FC2">
        <w:rPr>
          <w:rFonts w:ascii="Calibri" w:hAnsi="Calibri" w:cs="Calibri"/>
          <w:sz w:val="20"/>
          <w:szCs w:val="20"/>
        </w:rPr>
        <w:t xml:space="preserve"> mld zł (wzrost o 9,9 proc.</w:t>
      </w:r>
      <w:r w:rsidR="009C78BF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), w tym:</w:t>
      </w:r>
    </w:p>
    <w:p w14:paraId="3A18F9D9" w14:textId="34E749DE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> </w:t>
      </w:r>
      <w:r w:rsidRPr="00A24FC2">
        <w:rPr>
          <w:rFonts w:ascii="Calibri" w:hAnsi="Calibri" w:cs="Calibri"/>
          <w:sz w:val="20"/>
          <w:szCs w:val="20"/>
        </w:rPr>
        <w:t>– pojazdy lekkie – 67,4 mld zł (wzrost o 11,6 proc.</w:t>
      </w:r>
      <w:r w:rsidR="009C78BF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)</w:t>
      </w:r>
    </w:p>
    <w:p w14:paraId="023547DA" w14:textId="18A9AAE3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> </w:t>
      </w:r>
      <w:r w:rsidRPr="00A24FC2">
        <w:rPr>
          <w:rFonts w:ascii="Calibri" w:hAnsi="Calibri" w:cs="Calibri"/>
          <w:sz w:val="20"/>
          <w:szCs w:val="20"/>
        </w:rPr>
        <w:t>– pojazdy ciężkie – 19,7 mld zł (wzrost o 4,4 proc.</w:t>
      </w:r>
      <w:r w:rsidR="009C78BF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)</w:t>
      </w:r>
    </w:p>
    <w:p w14:paraId="185B0300" w14:textId="0CC80695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> </w:t>
      </w:r>
      <w:r w:rsidRPr="00A24FC2">
        <w:rPr>
          <w:rFonts w:ascii="Calibri" w:hAnsi="Calibri" w:cs="Calibri"/>
          <w:sz w:val="20"/>
          <w:szCs w:val="20"/>
        </w:rPr>
        <w:t>– inne pojazdy – 1,0 mld zł (wzrost o 8,9 proc.</w:t>
      </w:r>
      <w:r w:rsidR="009C78BF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)</w:t>
      </w:r>
    </w:p>
    <w:p w14:paraId="3C0B5654" w14:textId="185FC170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• </w:t>
      </w:r>
      <w:r w:rsidRPr="0054107B">
        <w:rPr>
          <w:rFonts w:ascii="Calibri" w:hAnsi="Calibri" w:cs="Calibri"/>
          <w:b/>
          <w:bCs/>
          <w:sz w:val="20"/>
          <w:szCs w:val="20"/>
        </w:rPr>
        <w:t>Maszyny i urządzenia</w:t>
      </w:r>
      <w:r w:rsidRPr="00A24FC2">
        <w:rPr>
          <w:rFonts w:ascii="Calibri" w:hAnsi="Calibri" w:cs="Calibri"/>
          <w:sz w:val="20"/>
          <w:szCs w:val="20"/>
        </w:rPr>
        <w:t xml:space="preserve"> – 26,7 mld zł (wzrost o 1,7 proc.</w:t>
      </w:r>
      <w:r w:rsidR="009C78BF">
        <w:rPr>
          <w:rFonts w:ascii="Calibri" w:hAnsi="Calibri" w:cs="Calibri"/>
          <w:sz w:val="20"/>
          <w:szCs w:val="20"/>
        </w:rPr>
        <w:t xml:space="preserve"> r/r</w:t>
      </w:r>
      <w:r w:rsidRPr="00A24FC2">
        <w:rPr>
          <w:rFonts w:ascii="Calibri" w:hAnsi="Calibri" w:cs="Calibri"/>
          <w:sz w:val="20"/>
          <w:szCs w:val="20"/>
        </w:rPr>
        <w:t>)</w:t>
      </w:r>
    </w:p>
    <w:p w14:paraId="4E48B8F6" w14:textId="2DBB9140" w:rsidR="00A24FC2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• </w:t>
      </w:r>
      <w:r w:rsidRPr="0054107B">
        <w:rPr>
          <w:rFonts w:ascii="Calibri" w:hAnsi="Calibri" w:cs="Calibri"/>
          <w:b/>
          <w:bCs/>
          <w:sz w:val="20"/>
          <w:szCs w:val="20"/>
        </w:rPr>
        <w:t>Pozostałe ruchomości</w:t>
      </w:r>
      <w:r w:rsidRPr="00A24FC2">
        <w:rPr>
          <w:rFonts w:ascii="Calibri" w:hAnsi="Calibri" w:cs="Calibri"/>
          <w:sz w:val="20"/>
          <w:szCs w:val="20"/>
        </w:rPr>
        <w:t xml:space="preserve"> – 3,8 mld zł (wzrost o 8,8 proc.</w:t>
      </w:r>
      <w:r w:rsidR="009C78BF">
        <w:rPr>
          <w:rFonts w:ascii="Calibri" w:hAnsi="Calibri" w:cs="Calibri"/>
          <w:sz w:val="20"/>
          <w:szCs w:val="20"/>
        </w:rPr>
        <w:t xml:space="preserve"> r/r)</w:t>
      </w:r>
    </w:p>
    <w:p w14:paraId="56BB5583" w14:textId="704C753B" w:rsidR="005E6FF1" w:rsidRDefault="005E6FF1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• </w:t>
      </w:r>
      <w:r w:rsidRPr="0054107B">
        <w:rPr>
          <w:rFonts w:ascii="Calibri" w:hAnsi="Calibri" w:cs="Calibri"/>
          <w:b/>
          <w:bCs/>
          <w:sz w:val="20"/>
          <w:szCs w:val="20"/>
        </w:rPr>
        <w:t>Nieruchomości</w:t>
      </w:r>
      <w:r w:rsidRPr="00A24FC2">
        <w:rPr>
          <w:rFonts w:ascii="Calibri" w:hAnsi="Calibri" w:cs="Calibri"/>
          <w:sz w:val="20"/>
          <w:szCs w:val="20"/>
        </w:rPr>
        <w:t xml:space="preserve"> – 0,8 mld zł (wzrost o 63 proc.</w:t>
      </w:r>
      <w:r w:rsidR="009C78BF">
        <w:rPr>
          <w:rFonts w:ascii="Calibri" w:hAnsi="Calibri" w:cs="Calibri"/>
          <w:sz w:val="20"/>
          <w:szCs w:val="20"/>
        </w:rPr>
        <w:t xml:space="preserve"> r/r/</w:t>
      </w:r>
      <w:r w:rsidRPr="00A24FC2">
        <w:rPr>
          <w:rFonts w:ascii="Calibri" w:hAnsi="Calibri" w:cs="Calibri"/>
          <w:sz w:val="20"/>
          <w:szCs w:val="20"/>
        </w:rPr>
        <w:t>)</w:t>
      </w:r>
    </w:p>
    <w:p w14:paraId="5160FE3E" w14:textId="77777777" w:rsidR="001B37C5" w:rsidRDefault="001B37C5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F815411" w14:textId="3D863F8C" w:rsidR="001B37C5" w:rsidRDefault="001B37C5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6240AC88" wp14:editId="2FE69420">
            <wp:extent cx="5759450" cy="3551555"/>
            <wp:effectExtent l="0" t="0" r="0" b="0"/>
            <wp:docPr id="1238368649" name="Obraz 3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368649" name="Obraz 3" descr="Obraz zawierający tekst, zrzut ekranu, Czcionka, diagram&#10;&#10;Zawartość wygenerowana przez AI może być niepoprawna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C8FF6" w14:textId="77777777" w:rsidR="00251977" w:rsidRDefault="00251977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C7B428B" w14:textId="120C770D" w:rsidR="00251977" w:rsidRPr="00A24FC2" w:rsidRDefault="00251977" w:rsidP="0054107B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7320F">
        <w:rPr>
          <w:rFonts w:ascii="Calibri" w:hAnsi="Calibri" w:cs="Calibri"/>
          <w:sz w:val="20"/>
          <w:szCs w:val="20"/>
        </w:rPr>
        <w:t xml:space="preserve">Na koniec 2025 roku wartość aktywnego portfela leasingowego </w:t>
      </w:r>
      <w:r>
        <w:rPr>
          <w:rFonts w:ascii="Calibri" w:hAnsi="Calibri" w:cs="Calibri"/>
          <w:sz w:val="20"/>
          <w:szCs w:val="20"/>
        </w:rPr>
        <w:t>(</w:t>
      </w:r>
      <w:r w:rsidRPr="0007320F">
        <w:rPr>
          <w:rFonts w:ascii="Calibri" w:hAnsi="Calibri" w:cs="Calibri"/>
          <w:sz w:val="20"/>
          <w:szCs w:val="20"/>
        </w:rPr>
        <w:t>ruchomości</w:t>
      </w:r>
      <w:r>
        <w:rPr>
          <w:rFonts w:ascii="Calibri" w:hAnsi="Calibri" w:cs="Calibri"/>
          <w:sz w:val="20"/>
          <w:szCs w:val="20"/>
        </w:rPr>
        <w:t>)</w:t>
      </w:r>
      <w:r w:rsidRPr="0007320F">
        <w:rPr>
          <w:rFonts w:ascii="Calibri" w:hAnsi="Calibri" w:cs="Calibri"/>
          <w:sz w:val="20"/>
          <w:szCs w:val="20"/>
        </w:rPr>
        <w:t xml:space="preserve"> wyniosła 230 mld zł</w:t>
      </w:r>
      <w:r w:rsidR="00454F26">
        <w:rPr>
          <w:rFonts w:ascii="Calibri" w:hAnsi="Calibri" w:cs="Calibri"/>
          <w:sz w:val="20"/>
          <w:szCs w:val="20"/>
        </w:rPr>
        <w:t xml:space="preserve"> (wzrost o </w:t>
      </w:r>
      <w:r w:rsidR="000279C9">
        <w:rPr>
          <w:rFonts w:ascii="Calibri" w:hAnsi="Calibri" w:cs="Calibri"/>
          <w:sz w:val="20"/>
          <w:szCs w:val="20"/>
        </w:rPr>
        <w:t>7,6</w:t>
      </w:r>
      <w:r w:rsidR="00454F26">
        <w:rPr>
          <w:rFonts w:ascii="Calibri" w:hAnsi="Calibri" w:cs="Calibri"/>
          <w:sz w:val="20"/>
          <w:szCs w:val="20"/>
        </w:rPr>
        <w:t xml:space="preserve"> proc.</w:t>
      </w:r>
      <w:r w:rsidR="000279C9">
        <w:rPr>
          <w:rFonts w:ascii="Calibri" w:hAnsi="Calibri" w:cs="Calibri"/>
          <w:sz w:val="20"/>
          <w:szCs w:val="20"/>
        </w:rPr>
        <w:t xml:space="preserve"> r/r</w:t>
      </w:r>
      <w:r w:rsidR="00454F26">
        <w:rPr>
          <w:rFonts w:ascii="Calibri" w:hAnsi="Calibri" w:cs="Calibri"/>
          <w:sz w:val="20"/>
          <w:szCs w:val="20"/>
        </w:rPr>
        <w:t>)</w:t>
      </w:r>
      <w:r w:rsidRPr="0007320F">
        <w:rPr>
          <w:rFonts w:ascii="Calibri" w:hAnsi="Calibri" w:cs="Calibri"/>
          <w:sz w:val="20"/>
          <w:szCs w:val="20"/>
        </w:rPr>
        <w:t xml:space="preserve">, co potwierdza silną pozycję leasingu jako kluczowego źródła finansowania inwestycji w polskiej gospodarce. Dla porównania, wartość kredytów inwestycyjnych udzielonych przez banki sięgnęła </w:t>
      </w:r>
      <w:r w:rsidR="004839F4">
        <w:rPr>
          <w:rFonts w:ascii="Calibri" w:hAnsi="Calibri" w:cs="Calibri"/>
          <w:sz w:val="20"/>
          <w:szCs w:val="20"/>
        </w:rPr>
        <w:t>207,2</w:t>
      </w:r>
      <w:r w:rsidRPr="0007320F">
        <w:rPr>
          <w:rFonts w:ascii="Calibri" w:hAnsi="Calibri" w:cs="Calibri"/>
          <w:sz w:val="20"/>
          <w:szCs w:val="20"/>
        </w:rPr>
        <w:t xml:space="preserve"> mld zł</w:t>
      </w:r>
      <w:r w:rsidR="00454F26">
        <w:rPr>
          <w:rFonts w:ascii="Calibri" w:hAnsi="Calibri" w:cs="Calibri"/>
          <w:sz w:val="20"/>
          <w:szCs w:val="20"/>
        </w:rPr>
        <w:t xml:space="preserve"> (wzrost o </w:t>
      </w:r>
      <w:r w:rsidR="00783C8F">
        <w:rPr>
          <w:rFonts w:ascii="Calibri" w:hAnsi="Calibri" w:cs="Calibri"/>
          <w:sz w:val="20"/>
          <w:szCs w:val="20"/>
        </w:rPr>
        <w:t>8</w:t>
      </w:r>
      <w:r w:rsidR="000279C9">
        <w:rPr>
          <w:rFonts w:ascii="Calibri" w:hAnsi="Calibri" w:cs="Calibri"/>
          <w:sz w:val="20"/>
          <w:szCs w:val="20"/>
        </w:rPr>
        <w:t>,4</w:t>
      </w:r>
      <w:r w:rsidR="00454F26">
        <w:rPr>
          <w:rFonts w:ascii="Calibri" w:hAnsi="Calibri" w:cs="Calibri"/>
          <w:sz w:val="20"/>
          <w:szCs w:val="20"/>
        </w:rPr>
        <w:t xml:space="preserve"> proc.</w:t>
      </w:r>
      <w:r w:rsidR="000279C9">
        <w:rPr>
          <w:rFonts w:ascii="Calibri" w:hAnsi="Calibri" w:cs="Calibri"/>
          <w:sz w:val="20"/>
          <w:szCs w:val="20"/>
        </w:rPr>
        <w:t xml:space="preserve"> r/r</w:t>
      </w:r>
      <w:r w:rsidR="00454F26">
        <w:rPr>
          <w:rFonts w:ascii="Calibri" w:hAnsi="Calibri" w:cs="Calibri"/>
          <w:sz w:val="20"/>
          <w:szCs w:val="20"/>
        </w:rPr>
        <w:t>).</w:t>
      </w:r>
    </w:p>
    <w:p w14:paraId="71AA35EB" w14:textId="77777777" w:rsidR="00054B09" w:rsidRPr="00054B09" w:rsidRDefault="00054B09" w:rsidP="005E6FF1">
      <w:pPr>
        <w:spacing w:before="240" w:after="24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054B09">
        <w:rPr>
          <w:rFonts w:ascii="Calibri" w:hAnsi="Calibri" w:cs="Calibri"/>
          <w:b/>
          <w:bCs/>
          <w:color w:val="0070C0"/>
          <w:sz w:val="20"/>
          <w:szCs w:val="20"/>
        </w:rPr>
        <w:t>2026: regulacje, cyfryzacja i zielona transformacja</w:t>
      </w:r>
    </w:p>
    <w:p w14:paraId="195EE102" w14:textId="78F486E1" w:rsidR="005E6FF1" w:rsidRPr="00A24FC2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>Związek Polskiego Leasingu szacuje, że w 2026 roku wartość inwestycji sfinansowanych przez branżę leasingową może wzrosnąć do 129,7 mld zł, co oznacza</w:t>
      </w:r>
      <w:r w:rsidR="00B967B4">
        <w:rPr>
          <w:rFonts w:ascii="Calibri" w:hAnsi="Calibri" w:cs="Calibri"/>
          <w:sz w:val="20"/>
          <w:szCs w:val="20"/>
        </w:rPr>
        <w:t xml:space="preserve"> 9</w:t>
      </w:r>
      <w:r w:rsidRPr="00A24FC2">
        <w:rPr>
          <w:rFonts w:ascii="Calibri" w:hAnsi="Calibri" w:cs="Calibri"/>
          <w:sz w:val="20"/>
          <w:szCs w:val="20"/>
        </w:rPr>
        <w:t>-</w:t>
      </w:r>
      <w:r w:rsidR="0054107B">
        <w:rPr>
          <w:rFonts w:ascii="Calibri" w:hAnsi="Calibri" w:cs="Calibri"/>
          <w:sz w:val="20"/>
          <w:szCs w:val="20"/>
        </w:rPr>
        <w:t>proc.</w:t>
      </w:r>
      <w:r w:rsidRPr="00A24FC2">
        <w:rPr>
          <w:rFonts w:ascii="Calibri" w:hAnsi="Calibri" w:cs="Calibri"/>
          <w:sz w:val="20"/>
          <w:szCs w:val="20"/>
        </w:rPr>
        <w:t xml:space="preserve"> temp</w:t>
      </w:r>
      <w:r w:rsidR="00B967B4">
        <w:rPr>
          <w:rFonts w:ascii="Calibri" w:hAnsi="Calibri" w:cs="Calibri"/>
          <w:sz w:val="20"/>
          <w:szCs w:val="20"/>
        </w:rPr>
        <w:t>o</w:t>
      </w:r>
      <w:r w:rsidRPr="00A24FC2">
        <w:rPr>
          <w:rFonts w:ascii="Calibri" w:hAnsi="Calibri" w:cs="Calibri"/>
          <w:sz w:val="20"/>
          <w:szCs w:val="20"/>
        </w:rPr>
        <w:t xml:space="preserve"> wzrostu. Prognoza zakłada stabilną aktywność inwestycyjną przedsiębiorstw oraz dalszą istotną rolę leasingu w finansowaniu rozwoju polskiej gospodarki.</w:t>
      </w:r>
    </w:p>
    <w:p w14:paraId="67EAC18C" w14:textId="7E6AF55E" w:rsidR="005E6FF1" w:rsidRDefault="005E6FF1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A24FC2">
        <w:rPr>
          <w:rFonts w:ascii="Calibri" w:hAnsi="Calibri" w:cs="Calibri"/>
          <w:sz w:val="20"/>
          <w:szCs w:val="20"/>
        </w:rPr>
        <w:t xml:space="preserve">– 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2026 rok będzie rokiem </w:t>
      </w:r>
      <w:r w:rsidR="0054107B">
        <w:rPr>
          <w:rFonts w:ascii="Calibri" w:hAnsi="Calibri" w:cs="Calibri"/>
          <w:i/>
          <w:iCs/>
          <w:sz w:val="20"/>
          <w:szCs w:val="20"/>
        </w:rPr>
        <w:t>dużych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 inwestycji, głównie dzięki kumulacji wydatkowania </w:t>
      </w:r>
      <w:r w:rsidR="0054107B">
        <w:rPr>
          <w:rFonts w:ascii="Calibri" w:hAnsi="Calibri" w:cs="Calibri"/>
          <w:i/>
          <w:iCs/>
          <w:sz w:val="20"/>
          <w:szCs w:val="20"/>
        </w:rPr>
        <w:t>pieniędzy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 unijnych z KPO oraz perspektywy finansowej 2021–2027. Szacujemy, że wydatki inwestycyjne finansowane z pieniędzy unijnych mogą wynieść około </w:t>
      </w:r>
      <w:r w:rsidR="00221364">
        <w:rPr>
          <w:rFonts w:ascii="Calibri" w:hAnsi="Calibri" w:cs="Calibri"/>
          <w:i/>
          <w:iCs/>
          <w:sz w:val="20"/>
          <w:szCs w:val="20"/>
        </w:rPr>
        <w:t>182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 mld zł, wobec ok. </w:t>
      </w:r>
      <w:r w:rsidR="00221364">
        <w:rPr>
          <w:rFonts w:ascii="Calibri" w:hAnsi="Calibri" w:cs="Calibri"/>
          <w:i/>
          <w:iCs/>
          <w:sz w:val="20"/>
          <w:szCs w:val="20"/>
        </w:rPr>
        <w:t>63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 mld zł w 2025 roku. </w:t>
      </w:r>
      <w:r w:rsidR="0054107B">
        <w:rPr>
          <w:rFonts w:ascii="Calibri" w:hAnsi="Calibri" w:cs="Calibri"/>
          <w:i/>
          <w:iCs/>
          <w:sz w:val="20"/>
          <w:szCs w:val="20"/>
        </w:rPr>
        <w:t>Pieniądze</w:t>
      </w:r>
      <w:r w:rsidRPr="0054107B">
        <w:rPr>
          <w:rFonts w:ascii="Calibri" w:hAnsi="Calibri" w:cs="Calibri"/>
          <w:i/>
          <w:iCs/>
          <w:sz w:val="20"/>
          <w:szCs w:val="20"/>
        </w:rPr>
        <w:t xml:space="preserve"> unijne będą silnym katalizatorem inwestycji prywatnych, w tym inwestycji sektora MŚP, co będzie korzystne dla rynku leasingu</w:t>
      </w:r>
      <w:r w:rsidRPr="00A24FC2">
        <w:rPr>
          <w:rFonts w:ascii="Calibri" w:hAnsi="Calibri" w:cs="Calibri"/>
          <w:sz w:val="20"/>
          <w:szCs w:val="20"/>
        </w:rPr>
        <w:t xml:space="preserve"> – mówi Monika Constant.</w:t>
      </w:r>
    </w:p>
    <w:p w14:paraId="0C03A348" w14:textId="77777777" w:rsidR="00251977" w:rsidRPr="00251977" w:rsidRDefault="00251977" w:rsidP="00251977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51977">
        <w:rPr>
          <w:rFonts w:ascii="Calibri" w:hAnsi="Calibri" w:cs="Calibri"/>
          <w:sz w:val="20"/>
          <w:szCs w:val="20"/>
        </w:rPr>
        <w:t>Rok 2026 będzie dla branży leasingowej okresem intensywnej transformacji, w którym cyfryzacja, regulacje oraz zielona transformacja flot ułożą nowe ramy funkcjonowania rynku. Kluczowym wyzwaniem pozostaje pełne wykorzystanie potencjału deregulacji wprowadzonej w 2025 roku, w szczególności możliwości zawierania umów leasingu w formie dokumentowej. ZPL wskazuje, że kolejny etap powinien obejmować dalszą cyfryzację procesów – m.in. wdrożenie KSeF, rozwój e-rejestracji pojazdów, cyfrowy obieg danych z CEPiK oraz automatyzację procesów obsługi klienta – tak aby leasing mógł funkcjonować w pełni cyfrowym ekosystemie.</w:t>
      </w:r>
    </w:p>
    <w:p w14:paraId="2F472451" w14:textId="05FD68E4" w:rsidR="00054B09" w:rsidRPr="00251977" w:rsidRDefault="00054B09" w:rsidP="00054B09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51977">
        <w:rPr>
          <w:rFonts w:ascii="Calibri" w:hAnsi="Calibri" w:cs="Calibri"/>
          <w:sz w:val="20"/>
          <w:szCs w:val="20"/>
        </w:rPr>
        <w:lastRenderedPageBreak/>
        <w:t xml:space="preserve">Jednym z kluczowych wyzwań dla branży leasingowej w </w:t>
      </w:r>
      <w:r>
        <w:rPr>
          <w:rFonts w:ascii="Calibri" w:hAnsi="Calibri" w:cs="Calibri"/>
          <w:sz w:val="20"/>
          <w:szCs w:val="20"/>
        </w:rPr>
        <w:t>tym</w:t>
      </w:r>
      <w:r w:rsidRPr="00251977">
        <w:rPr>
          <w:rFonts w:ascii="Calibri" w:hAnsi="Calibri" w:cs="Calibri"/>
          <w:sz w:val="20"/>
          <w:szCs w:val="20"/>
        </w:rPr>
        <w:t xml:space="preserve"> roku będzie projekt rozporządzenia Komisji Europejskiej dotyczący tzw. czystych pojazdów firmowych (Clean Corporate Vehicles). Związek Polskiego Leasingu, wspólnie z PZWLP, ZPP oraz TLP, wskazuje, że projekt w obecnym kształcie nadmiernie ingeruje w funkcjonowanie rynku finansowania pojazdów, przenosząc ciężar transformacji flot na firmy leasingowe i wynajmu, a pośrednio także na sektor MŚP, mimo że regulacja formalnie ma dotyczyć dużych przedsiębiorstw. W polskich realiach może to prowadzić do ograniczenia dostępności leasingu i najmu, wzrostu kosztów finansowania oraz spowolnienia inwestycji, przy jednoczesnym braku neutralności technologicznej i niedostosowaniu regulacji do poziomu rozwoju infrastruktury ładowania oraz specyfiki rynków Europy Środkowo-Wschodniej.</w:t>
      </w:r>
    </w:p>
    <w:p w14:paraId="5749068D" w14:textId="0EF22C23" w:rsidR="00054B09" w:rsidRPr="00054B09" w:rsidRDefault="00054B09" w:rsidP="00054B09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054B09">
        <w:rPr>
          <w:rFonts w:ascii="Calibri" w:hAnsi="Calibri" w:cs="Calibri"/>
          <w:i/>
          <w:iCs/>
          <w:sz w:val="20"/>
          <w:szCs w:val="20"/>
        </w:rPr>
        <w:t xml:space="preserve">ZPL postuluje, aby transformacja flot firmowych była realizowana w oparciu o mechanizmy rynkowe, stabilne i przewidywalne ramy regulacyjne oraz zachęty finansowe i podatkowe, a nie sztywne, odgórne cele ilościowe. Kluczowe jest zachowanie neutralności technologicznej, spójność regulacji z innymi politykami UE – w szczególności w obszarze energii i infrastruktury – oraz takie kształtowanie przepisów, które nie ograniczy dostępu przedsiębiorców do leasingu i wynajmu jako podstawowych narzędzi finansowania inwestycji </w:t>
      </w:r>
      <w:r>
        <w:rPr>
          <w:rFonts w:ascii="Calibri" w:hAnsi="Calibri" w:cs="Calibri"/>
          <w:sz w:val="20"/>
          <w:szCs w:val="20"/>
        </w:rPr>
        <w:t xml:space="preserve">– podkreśla </w:t>
      </w:r>
      <w:r w:rsidRPr="00054B09">
        <w:rPr>
          <w:rFonts w:ascii="Calibri" w:hAnsi="Calibri" w:cs="Calibri"/>
          <w:b/>
          <w:bCs/>
          <w:sz w:val="20"/>
          <w:szCs w:val="20"/>
        </w:rPr>
        <w:t>Monika Constant</w:t>
      </w:r>
      <w:r>
        <w:rPr>
          <w:rFonts w:ascii="Calibri" w:hAnsi="Calibri" w:cs="Calibri"/>
          <w:sz w:val="20"/>
          <w:szCs w:val="20"/>
        </w:rPr>
        <w:t>.</w:t>
      </w:r>
    </w:p>
    <w:p w14:paraId="7712F1C0" w14:textId="6EC2F75A" w:rsidR="004503EC" w:rsidRPr="0007320F" w:rsidRDefault="00000000" w:rsidP="005E6FF1">
      <w:pPr>
        <w:spacing w:before="240" w:after="240" w:line="276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color w:val="0070C0"/>
          <w:sz w:val="32"/>
          <w:szCs w:val="32"/>
        </w:rPr>
        <w:pict w14:anchorId="6CFCD9B4">
          <v:rect id="_x0000_i1025" style="width:0;height:1.5pt" o:hralign="center" o:hrstd="t" o:hr="t" fillcolor="#a0a0a0" stroked="f"/>
        </w:pict>
      </w:r>
    </w:p>
    <w:p w14:paraId="40E5B297" w14:textId="77777777" w:rsidR="008B319C" w:rsidRPr="00B10084" w:rsidRDefault="008B319C" w:rsidP="00D62D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131E033F" w:rsidR="004F7B4A" w:rsidRDefault="004F7B4A" w:rsidP="00D62D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organizacja reprezentująca branżę leasingową w Polsce. Związek zrzesza 36 podmiotów obejmujące ponad 90%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E76917">
        <w:rPr>
          <w:rFonts w:cstheme="minorHAnsi"/>
          <w:b/>
          <w:bCs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D62DD6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3E52F8E" w14:textId="3ED99F8F" w:rsidR="005E6FF1" w:rsidRDefault="00000000" w:rsidP="00D62DD6">
      <w:pPr>
        <w:spacing w:line="276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62952D4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B10084" w:rsidRDefault="008B319C" w:rsidP="005E6FF1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D62D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r w:rsidRPr="00FE1A5E"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73589F1E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D62DD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D62DD6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D62DD6">
      <w:pPr>
        <w:jc w:val="both"/>
      </w:pPr>
    </w:p>
    <w:sectPr w:rsidR="008B319C" w:rsidRPr="004F4588" w:rsidSect="00684E74">
      <w:headerReference w:type="default" r:id="rId16"/>
      <w:footerReference w:type="default" r:id="rId17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E37E4" w14:textId="77777777" w:rsidR="001F505B" w:rsidRDefault="001F505B" w:rsidP="00C64445">
      <w:r>
        <w:separator/>
      </w:r>
    </w:p>
  </w:endnote>
  <w:endnote w:type="continuationSeparator" w:id="0">
    <w:p w14:paraId="4326986A" w14:textId="77777777" w:rsidR="001F505B" w:rsidRDefault="001F505B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A7C7" w14:textId="77777777" w:rsidR="001F505B" w:rsidRDefault="001F505B" w:rsidP="00C64445">
      <w:r>
        <w:separator/>
      </w:r>
    </w:p>
  </w:footnote>
  <w:footnote w:type="continuationSeparator" w:id="0">
    <w:p w14:paraId="5794B28C" w14:textId="77777777" w:rsidR="001F505B" w:rsidRDefault="001F505B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6"/>
  </w:num>
  <w:num w:numId="4" w16cid:durableId="663321470">
    <w:abstractNumId w:val="29"/>
  </w:num>
  <w:num w:numId="5" w16cid:durableId="162018194">
    <w:abstractNumId w:val="3"/>
  </w:num>
  <w:num w:numId="6" w16cid:durableId="64644634">
    <w:abstractNumId w:val="11"/>
  </w:num>
  <w:num w:numId="7" w16cid:durableId="2027907007">
    <w:abstractNumId w:val="24"/>
  </w:num>
  <w:num w:numId="8" w16cid:durableId="471412180">
    <w:abstractNumId w:val="10"/>
  </w:num>
  <w:num w:numId="9" w16cid:durableId="980813205">
    <w:abstractNumId w:val="1"/>
  </w:num>
  <w:num w:numId="10" w16cid:durableId="793132770">
    <w:abstractNumId w:val="8"/>
  </w:num>
  <w:num w:numId="11" w16cid:durableId="1086851412">
    <w:abstractNumId w:val="16"/>
  </w:num>
  <w:num w:numId="12" w16cid:durableId="1174303547">
    <w:abstractNumId w:val="4"/>
  </w:num>
  <w:num w:numId="13" w16cid:durableId="2100129948">
    <w:abstractNumId w:val="27"/>
  </w:num>
  <w:num w:numId="14" w16cid:durableId="1563324192">
    <w:abstractNumId w:val="23"/>
  </w:num>
  <w:num w:numId="15" w16cid:durableId="705569770">
    <w:abstractNumId w:val="25"/>
  </w:num>
  <w:num w:numId="16" w16cid:durableId="111291106">
    <w:abstractNumId w:val="5"/>
  </w:num>
  <w:num w:numId="17" w16cid:durableId="1952204828">
    <w:abstractNumId w:val="22"/>
  </w:num>
  <w:num w:numId="18" w16cid:durableId="467361020">
    <w:abstractNumId w:val="13"/>
  </w:num>
  <w:num w:numId="19" w16cid:durableId="1832141202">
    <w:abstractNumId w:val="21"/>
  </w:num>
  <w:num w:numId="20" w16cid:durableId="1039624216">
    <w:abstractNumId w:val="9"/>
  </w:num>
  <w:num w:numId="21" w16cid:durableId="659163590">
    <w:abstractNumId w:val="12"/>
  </w:num>
  <w:num w:numId="22" w16cid:durableId="2110006445">
    <w:abstractNumId w:val="15"/>
  </w:num>
  <w:num w:numId="23" w16cid:durableId="1797944648">
    <w:abstractNumId w:val="0"/>
  </w:num>
  <w:num w:numId="24" w16cid:durableId="2082213637">
    <w:abstractNumId w:val="14"/>
  </w:num>
  <w:num w:numId="25" w16cid:durableId="1752896399">
    <w:abstractNumId w:val="28"/>
  </w:num>
  <w:num w:numId="26" w16cid:durableId="1489051389">
    <w:abstractNumId w:val="30"/>
  </w:num>
  <w:num w:numId="27" w16cid:durableId="1232807736">
    <w:abstractNumId w:val="7"/>
  </w:num>
  <w:num w:numId="28" w16cid:durableId="682897662">
    <w:abstractNumId w:val="17"/>
  </w:num>
  <w:num w:numId="29" w16cid:durableId="1839425136">
    <w:abstractNumId w:val="20"/>
  </w:num>
  <w:num w:numId="30" w16cid:durableId="1138953172">
    <w:abstractNumId w:val="6"/>
  </w:num>
  <w:num w:numId="31" w16cid:durableId="1981228885">
    <w:abstractNumId w:val="19"/>
  </w:num>
  <w:num w:numId="32" w16cid:durableId="1620921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A75"/>
    <w:rsid w:val="000426F8"/>
    <w:rsid w:val="00043408"/>
    <w:rsid w:val="00045B7F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A145A"/>
    <w:rsid w:val="000B2597"/>
    <w:rsid w:val="000B25F9"/>
    <w:rsid w:val="000B42C8"/>
    <w:rsid w:val="000B5BB8"/>
    <w:rsid w:val="000C1967"/>
    <w:rsid w:val="000C430A"/>
    <w:rsid w:val="000C60C8"/>
    <w:rsid w:val="000D295A"/>
    <w:rsid w:val="000D734F"/>
    <w:rsid w:val="000E3F2C"/>
    <w:rsid w:val="000E4EC0"/>
    <w:rsid w:val="000E5778"/>
    <w:rsid w:val="000F0265"/>
    <w:rsid w:val="000F1E11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7BEE"/>
    <w:rsid w:val="00131D75"/>
    <w:rsid w:val="00133576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F1650"/>
    <w:rsid w:val="001F250F"/>
    <w:rsid w:val="001F2866"/>
    <w:rsid w:val="001F41AE"/>
    <w:rsid w:val="001F505B"/>
    <w:rsid w:val="001F57AC"/>
    <w:rsid w:val="001F7E64"/>
    <w:rsid w:val="002056E9"/>
    <w:rsid w:val="00212802"/>
    <w:rsid w:val="00214B24"/>
    <w:rsid w:val="00221364"/>
    <w:rsid w:val="0022388D"/>
    <w:rsid w:val="0022460D"/>
    <w:rsid w:val="002267A3"/>
    <w:rsid w:val="00232A86"/>
    <w:rsid w:val="00234973"/>
    <w:rsid w:val="00240195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33C7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13CB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E0CDC"/>
    <w:rsid w:val="002E3500"/>
    <w:rsid w:val="002E460E"/>
    <w:rsid w:val="002E5331"/>
    <w:rsid w:val="002F1271"/>
    <w:rsid w:val="002F15BD"/>
    <w:rsid w:val="002F5B77"/>
    <w:rsid w:val="002F5D61"/>
    <w:rsid w:val="0030270E"/>
    <w:rsid w:val="00302FCE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118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6DA1"/>
    <w:rsid w:val="003E6FCE"/>
    <w:rsid w:val="003F19FE"/>
    <w:rsid w:val="003F330C"/>
    <w:rsid w:val="003F578D"/>
    <w:rsid w:val="003F76C1"/>
    <w:rsid w:val="004010E2"/>
    <w:rsid w:val="004011FD"/>
    <w:rsid w:val="0040246D"/>
    <w:rsid w:val="00406D43"/>
    <w:rsid w:val="0040767D"/>
    <w:rsid w:val="0041741F"/>
    <w:rsid w:val="00424AF5"/>
    <w:rsid w:val="00425870"/>
    <w:rsid w:val="004264AB"/>
    <w:rsid w:val="00430485"/>
    <w:rsid w:val="004354F3"/>
    <w:rsid w:val="00436812"/>
    <w:rsid w:val="00442B70"/>
    <w:rsid w:val="004503EC"/>
    <w:rsid w:val="00450DF3"/>
    <w:rsid w:val="00451821"/>
    <w:rsid w:val="00451868"/>
    <w:rsid w:val="00454F26"/>
    <w:rsid w:val="00461B13"/>
    <w:rsid w:val="0046442C"/>
    <w:rsid w:val="00466719"/>
    <w:rsid w:val="004729B0"/>
    <w:rsid w:val="004744E0"/>
    <w:rsid w:val="00475945"/>
    <w:rsid w:val="00475D70"/>
    <w:rsid w:val="0048231F"/>
    <w:rsid w:val="004839F4"/>
    <w:rsid w:val="004846DD"/>
    <w:rsid w:val="00484F1D"/>
    <w:rsid w:val="00485DF4"/>
    <w:rsid w:val="00486FEE"/>
    <w:rsid w:val="004A7C2A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4F7B4A"/>
    <w:rsid w:val="00507647"/>
    <w:rsid w:val="00510ACB"/>
    <w:rsid w:val="00515D0B"/>
    <w:rsid w:val="00520C4B"/>
    <w:rsid w:val="00525BA2"/>
    <w:rsid w:val="005360E6"/>
    <w:rsid w:val="005400DC"/>
    <w:rsid w:val="0054107B"/>
    <w:rsid w:val="0054694C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647C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E6FF1"/>
    <w:rsid w:val="005F075A"/>
    <w:rsid w:val="005F2E6D"/>
    <w:rsid w:val="005F3FD4"/>
    <w:rsid w:val="005F7BAE"/>
    <w:rsid w:val="0061396D"/>
    <w:rsid w:val="0061555F"/>
    <w:rsid w:val="00623464"/>
    <w:rsid w:val="00625AD9"/>
    <w:rsid w:val="0063277D"/>
    <w:rsid w:val="00635BE4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6677E"/>
    <w:rsid w:val="00673CAB"/>
    <w:rsid w:val="00673F17"/>
    <w:rsid w:val="00674C1C"/>
    <w:rsid w:val="00676325"/>
    <w:rsid w:val="00680A06"/>
    <w:rsid w:val="006827B9"/>
    <w:rsid w:val="00683456"/>
    <w:rsid w:val="00683AC5"/>
    <w:rsid w:val="00684E74"/>
    <w:rsid w:val="00690163"/>
    <w:rsid w:val="00692578"/>
    <w:rsid w:val="00693171"/>
    <w:rsid w:val="0069433B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16743"/>
    <w:rsid w:val="00720711"/>
    <w:rsid w:val="00721283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F0AD9"/>
    <w:rsid w:val="007F31C2"/>
    <w:rsid w:val="008031A6"/>
    <w:rsid w:val="008035D8"/>
    <w:rsid w:val="008077F1"/>
    <w:rsid w:val="0081108F"/>
    <w:rsid w:val="008116DD"/>
    <w:rsid w:val="00815865"/>
    <w:rsid w:val="008168EE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0225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B1199"/>
    <w:rsid w:val="009B11A5"/>
    <w:rsid w:val="009B4E00"/>
    <w:rsid w:val="009B5647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9F63C5"/>
    <w:rsid w:val="00A03F96"/>
    <w:rsid w:val="00A07089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637C7"/>
    <w:rsid w:val="00A66E77"/>
    <w:rsid w:val="00A67106"/>
    <w:rsid w:val="00A71322"/>
    <w:rsid w:val="00A742EE"/>
    <w:rsid w:val="00A8082C"/>
    <w:rsid w:val="00A8100E"/>
    <w:rsid w:val="00A84439"/>
    <w:rsid w:val="00A90151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45314"/>
    <w:rsid w:val="00B51A2B"/>
    <w:rsid w:val="00B54042"/>
    <w:rsid w:val="00B540BE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81A10"/>
    <w:rsid w:val="00B81E5C"/>
    <w:rsid w:val="00B8653E"/>
    <w:rsid w:val="00B91EC4"/>
    <w:rsid w:val="00B94985"/>
    <w:rsid w:val="00B967B4"/>
    <w:rsid w:val="00BA64DF"/>
    <w:rsid w:val="00BB00F0"/>
    <w:rsid w:val="00BB036F"/>
    <w:rsid w:val="00BB1196"/>
    <w:rsid w:val="00BB1D17"/>
    <w:rsid w:val="00BB5B97"/>
    <w:rsid w:val="00BB7AF4"/>
    <w:rsid w:val="00BC1C89"/>
    <w:rsid w:val="00BD5F30"/>
    <w:rsid w:val="00BD5FF1"/>
    <w:rsid w:val="00BE1A8A"/>
    <w:rsid w:val="00BE2DDF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4415"/>
    <w:rsid w:val="00C26061"/>
    <w:rsid w:val="00C275F6"/>
    <w:rsid w:val="00C3055E"/>
    <w:rsid w:val="00C32EE2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A30A6"/>
    <w:rsid w:val="00CB23AD"/>
    <w:rsid w:val="00CB36B5"/>
    <w:rsid w:val="00CC0AF8"/>
    <w:rsid w:val="00CC1A8D"/>
    <w:rsid w:val="00CD267F"/>
    <w:rsid w:val="00CD4414"/>
    <w:rsid w:val="00CD5B77"/>
    <w:rsid w:val="00CD71F5"/>
    <w:rsid w:val="00CD778D"/>
    <w:rsid w:val="00CE3200"/>
    <w:rsid w:val="00CE5195"/>
    <w:rsid w:val="00CE5251"/>
    <w:rsid w:val="00CF2264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7BA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908F6"/>
    <w:rsid w:val="00D91776"/>
    <w:rsid w:val="00D91A67"/>
    <w:rsid w:val="00D92F08"/>
    <w:rsid w:val="00D97F2C"/>
    <w:rsid w:val="00DA1C4D"/>
    <w:rsid w:val="00DA1F55"/>
    <w:rsid w:val="00DA490B"/>
    <w:rsid w:val="00DA50D5"/>
    <w:rsid w:val="00DB2380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041"/>
    <w:rsid w:val="00DF69A4"/>
    <w:rsid w:val="00E05D99"/>
    <w:rsid w:val="00E105C4"/>
    <w:rsid w:val="00E10A3F"/>
    <w:rsid w:val="00E10BA8"/>
    <w:rsid w:val="00E16F93"/>
    <w:rsid w:val="00E200FB"/>
    <w:rsid w:val="00E23318"/>
    <w:rsid w:val="00E25D87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1358"/>
    <w:rsid w:val="00E720D9"/>
    <w:rsid w:val="00E7566B"/>
    <w:rsid w:val="00E76917"/>
    <w:rsid w:val="00E76AED"/>
    <w:rsid w:val="00E84818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22CD"/>
    <w:rsid w:val="00F52B20"/>
    <w:rsid w:val="00F547AE"/>
    <w:rsid w:val="00F54E67"/>
    <w:rsid w:val="00F55061"/>
    <w:rsid w:val="00F56A8C"/>
    <w:rsid w:val="00F6002B"/>
    <w:rsid w:val="00F60963"/>
    <w:rsid w:val="00F64BF2"/>
    <w:rsid w:val="00F66E00"/>
    <w:rsid w:val="00F6770D"/>
    <w:rsid w:val="00F67EED"/>
    <w:rsid w:val="00F70526"/>
    <w:rsid w:val="00F9140D"/>
    <w:rsid w:val="00F92D56"/>
    <w:rsid w:val="00F94470"/>
    <w:rsid w:val="00F97C0C"/>
    <w:rsid w:val="00FA2042"/>
    <w:rsid w:val="00FB524A"/>
    <w:rsid w:val="00FB560E"/>
    <w:rsid w:val="00FB5D97"/>
    <w:rsid w:val="00FB644E"/>
    <w:rsid w:val="00FB747A"/>
    <w:rsid w:val="00FC1A0F"/>
    <w:rsid w:val="00FC4DBA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1435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136</cp:revision>
  <dcterms:created xsi:type="dcterms:W3CDTF">2025-08-04T13:31:00Z</dcterms:created>
  <dcterms:modified xsi:type="dcterms:W3CDTF">2026-02-04T12:58:00Z</dcterms:modified>
</cp:coreProperties>
</file>