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3120D4" w:rsidRDefault="00133576" w:rsidP="00FD09D6">
      <w:pPr>
        <w:pStyle w:val="Tekstpodstawowy"/>
        <w:spacing w:after="0"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3AF9200B" w14:textId="79CFFAB5" w:rsidR="00D603C4" w:rsidRPr="00D603C4" w:rsidRDefault="00BC4C8E" w:rsidP="00FD09D6">
      <w:pPr>
        <w:spacing w:before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t xml:space="preserve">Polska liderem leasingu w UE - </w:t>
      </w:r>
      <w:r w:rsidR="00F25DCB" w:rsidRPr="00F25DCB">
        <w:rPr>
          <w:rFonts w:cstheme="minorHAnsi"/>
          <w:b/>
          <w:bCs/>
          <w:color w:val="0070C0"/>
          <w:sz w:val="32"/>
          <w:szCs w:val="32"/>
        </w:rPr>
        <w:t xml:space="preserve">63 proc. MŚP </w:t>
      </w:r>
      <w:r>
        <w:rPr>
          <w:rFonts w:cstheme="minorHAnsi"/>
          <w:b/>
          <w:bCs/>
          <w:color w:val="0070C0"/>
          <w:sz w:val="32"/>
          <w:szCs w:val="32"/>
        </w:rPr>
        <w:t>stawia na</w:t>
      </w:r>
      <w:r w:rsidR="00F25DCB" w:rsidRPr="00F25DCB">
        <w:rPr>
          <w:rFonts w:cstheme="minorHAnsi"/>
          <w:b/>
          <w:bCs/>
          <w:color w:val="0070C0"/>
          <w:sz w:val="32"/>
          <w:szCs w:val="32"/>
        </w:rPr>
        <w:t xml:space="preserve"> leasing </w:t>
      </w:r>
    </w:p>
    <w:p w14:paraId="0E12A186" w14:textId="140276EA" w:rsidR="00D603C4" w:rsidRPr="00D603C4" w:rsidRDefault="00D603C4" w:rsidP="009D3B57">
      <w:pPr>
        <w:pStyle w:val="Akapitzlist"/>
        <w:numPr>
          <w:ilvl w:val="0"/>
          <w:numId w:val="37"/>
        </w:numPr>
        <w:spacing w:before="240" w:after="0" w:line="276" w:lineRule="auto"/>
        <w:jc w:val="both"/>
        <w:rPr>
          <w:rFonts w:ascii="Calibri" w:hAnsi="Calibri" w:cs="Calibri"/>
          <w:b/>
          <w:bCs/>
        </w:rPr>
      </w:pPr>
      <w:r w:rsidRPr="00D603C4">
        <w:rPr>
          <w:rFonts w:ascii="Calibri" w:hAnsi="Calibri" w:cs="Calibri"/>
          <w:b/>
          <w:bCs/>
        </w:rPr>
        <w:t>63</w:t>
      </w:r>
      <w:r w:rsidR="00014B8D">
        <w:rPr>
          <w:rFonts w:ascii="Calibri" w:hAnsi="Calibri" w:cs="Calibri"/>
          <w:b/>
          <w:bCs/>
        </w:rPr>
        <w:t>%</w:t>
      </w:r>
      <w:r w:rsidRPr="00D603C4">
        <w:rPr>
          <w:rFonts w:ascii="Calibri" w:hAnsi="Calibri" w:cs="Calibri"/>
          <w:b/>
          <w:bCs/>
        </w:rPr>
        <w:t xml:space="preserve"> MŚP </w:t>
      </w:r>
      <w:r w:rsidR="00BC4C8E">
        <w:rPr>
          <w:rFonts w:ascii="Calibri" w:hAnsi="Calibri" w:cs="Calibri"/>
          <w:b/>
          <w:bCs/>
        </w:rPr>
        <w:t>uznaje</w:t>
      </w:r>
      <w:r w:rsidRPr="00D603C4">
        <w:rPr>
          <w:rFonts w:ascii="Calibri" w:hAnsi="Calibri" w:cs="Calibri"/>
          <w:b/>
          <w:bCs/>
        </w:rPr>
        <w:t xml:space="preserve"> leasing </w:t>
      </w:r>
      <w:r w:rsidR="00BC4C8E">
        <w:rPr>
          <w:rFonts w:ascii="Calibri" w:hAnsi="Calibri" w:cs="Calibri"/>
          <w:b/>
          <w:bCs/>
        </w:rPr>
        <w:t>za</w:t>
      </w:r>
      <w:r w:rsidRPr="00D603C4">
        <w:rPr>
          <w:rFonts w:ascii="Calibri" w:hAnsi="Calibri" w:cs="Calibri"/>
          <w:b/>
          <w:bCs/>
        </w:rPr>
        <w:t xml:space="preserve"> kluczowe źródło finansowania</w:t>
      </w:r>
    </w:p>
    <w:p w14:paraId="3FAD46C4" w14:textId="2361E370" w:rsidR="00D603C4" w:rsidRDefault="00D603C4" w:rsidP="009D3B57">
      <w:pPr>
        <w:pStyle w:val="Akapitzlist"/>
        <w:numPr>
          <w:ilvl w:val="0"/>
          <w:numId w:val="37"/>
        </w:numPr>
        <w:spacing w:before="240" w:after="0" w:line="276" w:lineRule="auto"/>
        <w:jc w:val="both"/>
        <w:rPr>
          <w:rFonts w:ascii="Calibri" w:hAnsi="Calibri" w:cs="Calibri"/>
          <w:b/>
          <w:bCs/>
        </w:rPr>
      </w:pPr>
      <w:r w:rsidRPr="00D603C4">
        <w:rPr>
          <w:rFonts w:ascii="Calibri" w:hAnsi="Calibri" w:cs="Calibri"/>
          <w:b/>
          <w:bCs/>
        </w:rPr>
        <w:t>42</w:t>
      </w:r>
      <w:r w:rsidR="00014B8D">
        <w:rPr>
          <w:rFonts w:ascii="Calibri" w:hAnsi="Calibri" w:cs="Calibri"/>
          <w:b/>
          <w:bCs/>
        </w:rPr>
        <w:t>%</w:t>
      </w:r>
      <w:r w:rsidRPr="00D603C4">
        <w:rPr>
          <w:rFonts w:ascii="Calibri" w:hAnsi="Calibri" w:cs="Calibri"/>
          <w:b/>
          <w:bCs/>
        </w:rPr>
        <w:t xml:space="preserve"> firm korzysta z leasingu w sposób ciągły</w:t>
      </w:r>
    </w:p>
    <w:p w14:paraId="7C431241" w14:textId="400AB3C4" w:rsidR="00670C6D" w:rsidRPr="00D603C4" w:rsidRDefault="009806D2" w:rsidP="009D3B57">
      <w:pPr>
        <w:pStyle w:val="Akapitzlist"/>
        <w:numPr>
          <w:ilvl w:val="0"/>
          <w:numId w:val="37"/>
        </w:numPr>
        <w:spacing w:before="240" w:after="0"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N</w:t>
      </w:r>
      <w:r w:rsidR="00670C6D">
        <w:rPr>
          <w:rFonts w:ascii="Calibri" w:hAnsi="Calibri" w:cs="Calibri"/>
          <w:b/>
          <w:bCs/>
        </w:rPr>
        <w:t>ajwyższ</w:t>
      </w:r>
      <w:r w:rsidR="00F614AB">
        <w:rPr>
          <w:rFonts w:ascii="Calibri" w:hAnsi="Calibri" w:cs="Calibri"/>
          <w:b/>
          <w:bCs/>
        </w:rPr>
        <w:t xml:space="preserve">e wykorzystanie leasingu </w:t>
      </w:r>
      <w:r w:rsidR="00670C6D">
        <w:rPr>
          <w:rFonts w:ascii="Calibri" w:hAnsi="Calibri" w:cs="Calibri"/>
          <w:b/>
          <w:bCs/>
        </w:rPr>
        <w:t>w Unii Europejskiej</w:t>
      </w:r>
    </w:p>
    <w:p w14:paraId="61563C88" w14:textId="76E4D4A2" w:rsidR="00D603C4" w:rsidRPr="00D603C4" w:rsidRDefault="00D603C4" w:rsidP="009D3B57">
      <w:pPr>
        <w:pStyle w:val="Akapitzlist"/>
        <w:numPr>
          <w:ilvl w:val="0"/>
          <w:numId w:val="37"/>
        </w:numPr>
        <w:spacing w:before="240" w:after="0" w:line="276" w:lineRule="auto"/>
        <w:jc w:val="both"/>
        <w:rPr>
          <w:rFonts w:ascii="Calibri" w:hAnsi="Calibri" w:cs="Calibri"/>
          <w:b/>
          <w:bCs/>
        </w:rPr>
      </w:pPr>
      <w:r w:rsidRPr="00D603C4">
        <w:rPr>
          <w:rFonts w:ascii="Calibri" w:hAnsi="Calibri" w:cs="Calibri"/>
          <w:b/>
          <w:bCs/>
        </w:rPr>
        <w:t>Leasing jest stałym elementem cyklu inwestycyjnego</w:t>
      </w:r>
    </w:p>
    <w:p w14:paraId="42A92E01" w14:textId="76A2A635" w:rsidR="00D603C4" w:rsidRDefault="00F614AB" w:rsidP="009D3B57">
      <w:pPr>
        <w:pStyle w:val="Akapitzlist"/>
        <w:numPr>
          <w:ilvl w:val="0"/>
          <w:numId w:val="37"/>
        </w:numPr>
        <w:spacing w:before="240" w:after="0"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</w:t>
      </w:r>
      <w:r w:rsidR="00D603C4" w:rsidRPr="00D603C4">
        <w:rPr>
          <w:rFonts w:ascii="Calibri" w:hAnsi="Calibri" w:cs="Calibri"/>
          <w:b/>
          <w:bCs/>
        </w:rPr>
        <w:t>tabilna</w:t>
      </w:r>
      <w:r>
        <w:rPr>
          <w:rFonts w:ascii="Calibri" w:hAnsi="Calibri" w:cs="Calibri"/>
          <w:b/>
          <w:bCs/>
        </w:rPr>
        <w:t xml:space="preserve"> d</w:t>
      </w:r>
      <w:r w:rsidRPr="00D603C4">
        <w:rPr>
          <w:rFonts w:ascii="Calibri" w:hAnsi="Calibri" w:cs="Calibri"/>
          <w:b/>
          <w:bCs/>
        </w:rPr>
        <w:t xml:space="preserve">ostępność leasingu </w:t>
      </w:r>
    </w:p>
    <w:p w14:paraId="36ADDCE6" w14:textId="22B0D298" w:rsidR="008F1D43" w:rsidRPr="003C2AAC" w:rsidRDefault="0004004B" w:rsidP="009D3B57">
      <w:pPr>
        <w:pStyle w:val="Akapitzlist"/>
        <w:numPr>
          <w:ilvl w:val="0"/>
          <w:numId w:val="37"/>
        </w:numPr>
        <w:spacing w:before="240" w:after="0" w:line="276" w:lineRule="auto"/>
        <w:jc w:val="both"/>
        <w:rPr>
          <w:rFonts w:ascii="Calibri" w:hAnsi="Calibri" w:cs="Calibri"/>
          <w:b/>
          <w:bCs/>
        </w:rPr>
      </w:pPr>
      <w:r w:rsidRPr="0004004B">
        <w:rPr>
          <w:rFonts w:ascii="Calibri" w:hAnsi="Calibri" w:cs="Calibri"/>
          <w:b/>
          <w:bCs/>
        </w:rPr>
        <w:t>119,5 mld zł – wartość inwestycji sfinansowanych w 2025 r.</w:t>
      </w:r>
    </w:p>
    <w:p w14:paraId="1EB111DA" w14:textId="77777777" w:rsidR="003B3CC3" w:rsidRDefault="005E6FF1" w:rsidP="0047287E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5E6FF1">
        <w:rPr>
          <w:rFonts w:ascii="Calibri" w:hAnsi="Calibri" w:cs="Calibri"/>
          <w:b/>
          <w:bCs/>
          <w:sz w:val="20"/>
          <w:szCs w:val="20"/>
        </w:rPr>
        <w:t xml:space="preserve">Warszawa, </w:t>
      </w:r>
      <w:r w:rsidR="00F55548" w:rsidRPr="00F55548">
        <w:rPr>
          <w:rFonts w:ascii="Calibri" w:hAnsi="Calibri" w:cs="Calibri"/>
          <w:b/>
          <w:bCs/>
          <w:sz w:val="20"/>
          <w:szCs w:val="20"/>
        </w:rPr>
        <w:t>26 lutego</w:t>
      </w:r>
      <w:r w:rsidRPr="005E6FF1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D50FA9">
        <w:rPr>
          <w:rFonts w:ascii="Calibri" w:hAnsi="Calibri" w:cs="Calibri"/>
          <w:b/>
          <w:bCs/>
          <w:sz w:val="20"/>
          <w:szCs w:val="20"/>
        </w:rPr>
        <w:t>2026</w:t>
      </w:r>
      <w:r w:rsidRPr="005E6FF1">
        <w:rPr>
          <w:rFonts w:ascii="Calibri" w:hAnsi="Calibri" w:cs="Calibri"/>
          <w:b/>
          <w:bCs/>
          <w:sz w:val="20"/>
          <w:szCs w:val="20"/>
        </w:rPr>
        <w:t xml:space="preserve"> r. </w:t>
      </w:r>
      <w:r w:rsidR="00D50FA9">
        <w:rPr>
          <w:rFonts w:ascii="Calibri" w:hAnsi="Calibri" w:cs="Calibri"/>
          <w:b/>
          <w:bCs/>
          <w:sz w:val="20"/>
          <w:szCs w:val="20"/>
        </w:rPr>
        <w:t>–</w:t>
      </w:r>
      <w:r w:rsidR="00485DF4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D94CED" w:rsidRPr="00D94CED">
        <w:rPr>
          <w:rFonts w:ascii="Calibri" w:hAnsi="Calibri" w:cs="Calibri"/>
          <w:sz w:val="20"/>
          <w:szCs w:val="20"/>
        </w:rPr>
        <w:t>Dla 63% małych i średnich przedsiębiorstw w Polsce leasing jest jednym z najważniejszych źródeł finansowania działalności – wynika z najnowszego badania Komisji Europejskiej i Europejskiego Banku Centralnego (SAFE 2025). To najwyższy wynik w Unii Europejskiej, przy średniej unijnej na poziomie 47%. Jednocześnie znaczenie leasingu w Polsce przewyższa inne formy finansowania – na istotność kredytu bankowego wskazało 36% przedsiębiorstw, a na dotacje 41%.</w:t>
      </w:r>
      <w:r w:rsidR="0053224F">
        <w:rPr>
          <w:rFonts w:ascii="Calibri" w:hAnsi="Calibri" w:cs="Calibri"/>
          <w:sz w:val="20"/>
          <w:szCs w:val="20"/>
        </w:rPr>
        <w:t xml:space="preserve"> </w:t>
      </w:r>
    </w:p>
    <w:p w14:paraId="3C030ACC" w14:textId="3F6FCB82" w:rsidR="003B3CC3" w:rsidRDefault="003B3CC3" w:rsidP="0047287E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EDF19B0" wp14:editId="25946724">
            <wp:extent cx="5759450" cy="4199255"/>
            <wp:effectExtent l="0" t="0" r="0" b="0"/>
            <wp:docPr id="39904466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044662" name="Obraz 39904466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5BD1E" w14:textId="75F24759" w:rsidR="00D94CED" w:rsidRDefault="00D94CED" w:rsidP="0047287E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D94CED">
        <w:rPr>
          <w:rFonts w:ascii="Calibri" w:hAnsi="Calibri" w:cs="Calibri"/>
          <w:sz w:val="20"/>
          <w:szCs w:val="20"/>
        </w:rPr>
        <w:lastRenderedPageBreak/>
        <w:t xml:space="preserve">W </w:t>
      </w:r>
      <w:r w:rsidR="0053224F">
        <w:rPr>
          <w:rFonts w:ascii="Calibri" w:hAnsi="Calibri" w:cs="Calibri"/>
          <w:sz w:val="20"/>
          <w:szCs w:val="20"/>
        </w:rPr>
        <w:t>ostatniej</w:t>
      </w:r>
      <w:r w:rsidRPr="00D94CED">
        <w:rPr>
          <w:rFonts w:ascii="Calibri" w:hAnsi="Calibri" w:cs="Calibri"/>
          <w:sz w:val="20"/>
          <w:szCs w:val="20"/>
        </w:rPr>
        <w:t xml:space="preserve"> edycji badania </w:t>
      </w:r>
      <w:r w:rsidR="001239A5">
        <w:rPr>
          <w:rFonts w:ascii="Calibri" w:hAnsi="Calibri" w:cs="Calibri"/>
          <w:sz w:val="20"/>
          <w:szCs w:val="20"/>
        </w:rPr>
        <w:t xml:space="preserve">SAFE </w:t>
      </w:r>
      <w:r w:rsidRPr="00D94CED">
        <w:rPr>
          <w:rFonts w:ascii="Calibri" w:hAnsi="Calibri" w:cs="Calibri"/>
          <w:sz w:val="20"/>
          <w:szCs w:val="20"/>
        </w:rPr>
        <w:t>Polska zajmuje pierwsze miejsce w UE pod względem znaczenia leasingu dla sektora MŚP. Rok wcześniej liderem była Finlandia, która obecnie plasuje się na czwartej pozycji. Za Polską znajdują się Niemcy oraz Czechy.</w:t>
      </w:r>
    </w:p>
    <w:p w14:paraId="0F21AA3B" w14:textId="37BFA930" w:rsidR="003B3CC3" w:rsidRPr="0047287E" w:rsidRDefault="003B3CC3" w:rsidP="0047287E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4ECA5A06" wp14:editId="12D4D8C5">
            <wp:extent cx="5759450" cy="4007485"/>
            <wp:effectExtent l="0" t="0" r="0" b="0"/>
            <wp:docPr id="13368056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80563" name="Obraz 13368056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94048" w14:textId="3BEEC555" w:rsidR="008A208B" w:rsidRDefault="00C4744D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>Jednocześnie 42</w:t>
      </w:r>
      <w:r w:rsidR="00014B8D">
        <w:rPr>
          <w:rFonts w:ascii="Calibri" w:hAnsi="Calibri" w:cs="Calibri"/>
          <w:sz w:val="20"/>
          <w:szCs w:val="20"/>
        </w:rPr>
        <w:t>%</w:t>
      </w:r>
      <w:r w:rsidRPr="00C4744D">
        <w:rPr>
          <w:rFonts w:ascii="Calibri" w:hAnsi="Calibri" w:cs="Calibri"/>
          <w:sz w:val="20"/>
          <w:szCs w:val="20"/>
        </w:rPr>
        <w:t xml:space="preserve"> MŚP </w:t>
      </w:r>
      <w:r w:rsidR="00D550DD">
        <w:rPr>
          <w:rFonts w:ascii="Calibri" w:hAnsi="Calibri" w:cs="Calibri"/>
          <w:sz w:val="20"/>
          <w:szCs w:val="20"/>
        </w:rPr>
        <w:t xml:space="preserve">w Polsce </w:t>
      </w:r>
      <w:r w:rsidRPr="00C4744D">
        <w:rPr>
          <w:rFonts w:ascii="Calibri" w:hAnsi="Calibri" w:cs="Calibri"/>
          <w:sz w:val="20"/>
          <w:szCs w:val="20"/>
        </w:rPr>
        <w:t xml:space="preserve">korzysta z leasingu w sposób ciągły, tj. zarówno w poprzednim, jak i bieżącym kwartale. To ponad dwukrotnie </w:t>
      </w:r>
      <w:r w:rsidR="008A208B">
        <w:rPr>
          <w:rFonts w:ascii="Calibri" w:hAnsi="Calibri" w:cs="Calibri"/>
          <w:sz w:val="20"/>
          <w:szCs w:val="20"/>
        </w:rPr>
        <w:t xml:space="preserve">więcej niż </w:t>
      </w:r>
      <w:r w:rsidR="004019F3">
        <w:rPr>
          <w:rFonts w:ascii="Calibri" w:hAnsi="Calibri" w:cs="Calibri"/>
          <w:sz w:val="20"/>
          <w:szCs w:val="20"/>
        </w:rPr>
        <w:t xml:space="preserve">wynosi </w:t>
      </w:r>
      <w:r w:rsidR="008A208B">
        <w:rPr>
          <w:rFonts w:ascii="Calibri" w:hAnsi="Calibri" w:cs="Calibri"/>
          <w:sz w:val="20"/>
          <w:szCs w:val="20"/>
        </w:rPr>
        <w:t>średnia unijna</w:t>
      </w:r>
      <w:r w:rsidRPr="00C4744D">
        <w:rPr>
          <w:rFonts w:ascii="Calibri" w:hAnsi="Calibri" w:cs="Calibri"/>
          <w:sz w:val="20"/>
          <w:szCs w:val="20"/>
        </w:rPr>
        <w:t xml:space="preserve"> (1</w:t>
      </w:r>
      <w:r w:rsidR="00DA5D40">
        <w:rPr>
          <w:rFonts w:ascii="Calibri" w:hAnsi="Calibri" w:cs="Calibri"/>
          <w:sz w:val="20"/>
          <w:szCs w:val="20"/>
        </w:rPr>
        <w:t>9%</w:t>
      </w:r>
      <w:r w:rsidRPr="00C4744D">
        <w:rPr>
          <w:rFonts w:ascii="Calibri" w:hAnsi="Calibri" w:cs="Calibri"/>
          <w:sz w:val="20"/>
          <w:szCs w:val="20"/>
        </w:rPr>
        <w:t>)</w:t>
      </w:r>
      <w:r w:rsidR="008A208B">
        <w:rPr>
          <w:rFonts w:ascii="Calibri" w:hAnsi="Calibri" w:cs="Calibri"/>
          <w:sz w:val="20"/>
          <w:szCs w:val="20"/>
        </w:rPr>
        <w:t xml:space="preserve"> </w:t>
      </w:r>
      <w:r w:rsidR="008A208B" w:rsidRPr="008A208B">
        <w:rPr>
          <w:rFonts w:ascii="Calibri" w:hAnsi="Calibri" w:cs="Calibri"/>
          <w:sz w:val="20"/>
          <w:szCs w:val="20"/>
        </w:rPr>
        <w:t>i również najwyższy wynik w UE. Kolejne miejsca zajmują Łotwa (32%) oraz Finlandia (31%). Najniższy poziom wykorzystania leasingu odnotowano we Włoszech i Hiszpanii (po 6%).</w:t>
      </w:r>
    </w:p>
    <w:p w14:paraId="51D86B85" w14:textId="3681AE12" w:rsidR="003B3CC3" w:rsidRDefault="003B3CC3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27FFAF33" wp14:editId="63AA9B96">
            <wp:extent cx="5759450" cy="4007485"/>
            <wp:effectExtent l="0" t="0" r="0" b="0"/>
            <wp:docPr id="28385125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851251" name="Obraz 28385125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41950" w14:textId="5079C5B3" w:rsidR="009321C6" w:rsidRPr="009321C6" w:rsidRDefault="009321C6" w:rsidP="009321C6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9321C6">
        <w:rPr>
          <w:rFonts w:ascii="Calibri" w:hAnsi="Calibri" w:cs="Calibri"/>
          <w:sz w:val="20"/>
          <w:szCs w:val="20"/>
        </w:rPr>
        <w:t xml:space="preserve">Poziom deklarowanej istotności leasingu oraz skala jego faktycznego wykorzystania potwierdzają, że w Polsce instrument ten ma charakter systemowy. </w:t>
      </w:r>
      <w:r w:rsidR="00D45A3B" w:rsidRPr="009321C6">
        <w:rPr>
          <w:rFonts w:ascii="Calibri" w:hAnsi="Calibri" w:cs="Calibri"/>
          <w:sz w:val="20"/>
          <w:szCs w:val="20"/>
        </w:rPr>
        <w:t>Leasing jest nie tylko wysoko oceniany, lecz także realnie wykorzystywany przez znaczną część sektora MŚP.</w:t>
      </w:r>
    </w:p>
    <w:p w14:paraId="40F934A6" w14:textId="5B7E2884" w:rsidR="00C4744D" w:rsidRDefault="00C4744D" w:rsidP="008F1D43">
      <w:pPr>
        <w:spacing w:before="240" w:after="240"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 xml:space="preserve">– </w:t>
      </w:r>
      <w:r w:rsidRPr="0093109A">
        <w:rPr>
          <w:rFonts w:ascii="Calibri" w:hAnsi="Calibri" w:cs="Calibri"/>
          <w:i/>
          <w:iCs/>
          <w:sz w:val="20"/>
          <w:szCs w:val="20"/>
        </w:rPr>
        <w:t>Leasing w Polsce jest dziś nie dodatkiem, lecz jednym z fundamentów finansowania inwestycji sektora MŚP. Wyniki SAFE 2025 potwierdzają jego trwałą i systemową rolę w gospodarce</w:t>
      </w:r>
      <w:r w:rsidRPr="00C4744D">
        <w:rPr>
          <w:rFonts w:ascii="Calibri" w:hAnsi="Calibri" w:cs="Calibri"/>
          <w:sz w:val="20"/>
          <w:szCs w:val="20"/>
        </w:rPr>
        <w:t xml:space="preserve"> – mówi </w:t>
      </w:r>
      <w:r w:rsidRPr="0093109A">
        <w:rPr>
          <w:rFonts w:ascii="Calibri" w:hAnsi="Calibri" w:cs="Calibri"/>
          <w:b/>
          <w:bCs/>
          <w:sz w:val="20"/>
          <w:szCs w:val="20"/>
        </w:rPr>
        <w:t>Monika Constant</w:t>
      </w:r>
      <w:r w:rsidRPr="00C4744D">
        <w:rPr>
          <w:rFonts w:ascii="Calibri" w:hAnsi="Calibri" w:cs="Calibri"/>
          <w:sz w:val="20"/>
          <w:szCs w:val="20"/>
        </w:rPr>
        <w:t xml:space="preserve">, prezeska Związku Polskiego Leasingu. – </w:t>
      </w:r>
      <w:r w:rsidRPr="0093109A">
        <w:rPr>
          <w:rFonts w:ascii="Calibri" w:hAnsi="Calibri" w:cs="Calibri"/>
          <w:i/>
          <w:iCs/>
          <w:sz w:val="20"/>
          <w:szCs w:val="20"/>
        </w:rPr>
        <w:t>Ponad 42 proc. firm korzystających z leasingu w sposób ciągły to dowód, że przedsiębiorcy traktują go jako stały element strategii rozwoju, a nie jednorazowe rozwiązanie.</w:t>
      </w:r>
      <w:r w:rsidR="00141404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FB3A65" w:rsidRPr="00FB3A65">
        <w:rPr>
          <w:rFonts w:ascii="Calibri" w:hAnsi="Calibri" w:cs="Calibri"/>
          <w:i/>
          <w:iCs/>
          <w:sz w:val="20"/>
          <w:szCs w:val="20"/>
        </w:rPr>
        <w:t>Na tle Unii Europejskiej Polska wyraźnie wyróżnia się skalą i powszechnością wykorzystania leasingu</w:t>
      </w:r>
      <w:r w:rsidR="00976C5E">
        <w:rPr>
          <w:rFonts w:ascii="Calibri" w:hAnsi="Calibri" w:cs="Calibri"/>
          <w:i/>
          <w:iCs/>
          <w:sz w:val="20"/>
          <w:szCs w:val="20"/>
        </w:rPr>
        <w:t xml:space="preserve">, który jest </w:t>
      </w:r>
      <w:r w:rsidRPr="00FB3A65">
        <w:rPr>
          <w:rFonts w:ascii="Calibri" w:hAnsi="Calibri" w:cs="Calibri"/>
          <w:i/>
          <w:iCs/>
          <w:sz w:val="20"/>
          <w:szCs w:val="20"/>
        </w:rPr>
        <w:t>stały</w:t>
      </w:r>
      <w:r w:rsidR="00976C5E">
        <w:rPr>
          <w:rFonts w:ascii="Calibri" w:hAnsi="Calibri" w:cs="Calibri"/>
          <w:i/>
          <w:iCs/>
          <w:sz w:val="20"/>
          <w:szCs w:val="20"/>
        </w:rPr>
        <w:t>m</w:t>
      </w:r>
      <w:r w:rsidRPr="00FB3A65">
        <w:rPr>
          <w:rFonts w:ascii="Calibri" w:hAnsi="Calibri" w:cs="Calibri"/>
          <w:i/>
          <w:iCs/>
          <w:sz w:val="20"/>
          <w:szCs w:val="20"/>
        </w:rPr>
        <w:t xml:space="preserve"> element</w:t>
      </w:r>
      <w:r w:rsidR="00976C5E">
        <w:rPr>
          <w:rFonts w:ascii="Calibri" w:hAnsi="Calibri" w:cs="Calibri"/>
          <w:i/>
          <w:iCs/>
          <w:sz w:val="20"/>
          <w:szCs w:val="20"/>
        </w:rPr>
        <w:t>em</w:t>
      </w:r>
      <w:r w:rsidRPr="00FB3A65">
        <w:rPr>
          <w:rFonts w:ascii="Calibri" w:hAnsi="Calibri" w:cs="Calibri"/>
          <w:i/>
          <w:iCs/>
          <w:sz w:val="20"/>
          <w:szCs w:val="20"/>
        </w:rPr>
        <w:t xml:space="preserve"> cyklu inwestycyjnego</w:t>
      </w:r>
      <w:r w:rsidR="00FB3A65" w:rsidRPr="00FB3A65">
        <w:rPr>
          <w:rFonts w:ascii="Calibri" w:hAnsi="Calibri" w:cs="Calibri"/>
          <w:i/>
          <w:iCs/>
          <w:sz w:val="20"/>
          <w:szCs w:val="20"/>
        </w:rPr>
        <w:t>.</w:t>
      </w:r>
    </w:p>
    <w:p w14:paraId="2AD85A9A" w14:textId="4561A2FD" w:rsidR="007C75D7" w:rsidRPr="00E3408E" w:rsidRDefault="00E3408E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3408E">
        <w:rPr>
          <w:rFonts w:ascii="Calibri" w:hAnsi="Calibri" w:cs="Calibri"/>
          <w:b/>
          <w:bCs/>
          <w:sz w:val="20"/>
          <w:szCs w:val="20"/>
        </w:rPr>
        <w:t>Przewidywalne finansowanie rozwoju</w:t>
      </w:r>
    </w:p>
    <w:p w14:paraId="3B0D49C0" w14:textId="0F0F2DB7" w:rsidR="00AB67D9" w:rsidRPr="00C4744D" w:rsidRDefault="00C4744D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>Z badania SAFE 2025 wynika, że</w:t>
      </w:r>
      <w:r w:rsidR="00927D97">
        <w:rPr>
          <w:rFonts w:ascii="Calibri" w:hAnsi="Calibri" w:cs="Calibri"/>
          <w:sz w:val="20"/>
          <w:szCs w:val="20"/>
        </w:rPr>
        <w:t xml:space="preserve"> </w:t>
      </w:r>
      <w:r w:rsidRPr="00C4744D">
        <w:rPr>
          <w:rFonts w:ascii="Calibri" w:hAnsi="Calibri" w:cs="Calibri"/>
          <w:sz w:val="20"/>
          <w:szCs w:val="20"/>
        </w:rPr>
        <w:t>73</w:t>
      </w:r>
      <w:r w:rsidR="00E2200F">
        <w:rPr>
          <w:rFonts w:ascii="Calibri" w:hAnsi="Calibri" w:cs="Calibri"/>
          <w:sz w:val="20"/>
          <w:szCs w:val="20"/>
        </w:rPr>
        <w:t>%</w:t>
      </w:r>
      <w:r w:rsidRPr="00C4744D">
        <w:rPr>
          <w:rFonts w:ascii="Calibri" w:hAnsi="Calibri" w:cs="Calibri"/>
          <w:sz w:val="20"/>
          <w:szCs w:val="20"/>
        </w:rPr>
        <w:t xml:space="preserve"> MŚP deklaruje stabilne potrzeby leasingowe (6</w:t>
      </w:r>
      <w:r w:rsidR="00E2200F">
        <w:rPr>
          <w:rFonts w:ascii="Calibri" w:hAnsi="Calibri" w:cs="Calibri"/>
          <w:sz w:val="20"/>
          <w:szCs w:val="20"/>
        </w:rPr>
        <w:t>6%</w:t>
      </w:r>
      <w:r w:rsidRPr="00C4744D">
        <w:rPr>
          <w:rFonts w:ascii="Calibri" w:hAnsi="Calibri" w:cs="Calibri"/>
          <w:sz w:val="20"/>
          <w:szCs w:val="20"/>
        </w:rPr>
        <w:t xml:space="preserve"> w 2024 r.),</w:t>
      </w:r>
      <w:r w:rsidR="00AB43D8">
        <w:rPr>
          <w:rFonts w:ascii="Calibri" w:hAnsi="Calibri" w:cs="Calibri"/>
          <w:sz w:val="20"/>
          <w:szCs w:val="20"/>
        </w:rPr>
        <w:t xml:space="preserve"> natomiast </w:t>
      </w:r>
      <w:r w:rsidRPr="00C4744D">
        <w:rPr>
          <w:rFonts w:ascii="Calibri" w:hAnsi="Calibri" w:cs="Calibri"/>
          <w:sz w:val="20"/>
          <w:szCs w:val="20"/>
        </w:rPr>
        <w:t>13</w:t>
      </w:r>
      <w:r w:rsidR="00E2200F">
        <w:rPr>
          <w:rFonts w:ascii="Calibri" w:hAnsi="Calibri" w:cs="Calibri"/>
          <w:sz w:val="20"/>
          <w:szCs w:val="20"/>
        </w:rPr>
        <w:t>%</w:t>
      </w:r>
      <w:r w:rsidRPr="00C4744D">
        <w:rPr>
          <w:rFonts w:ascii="Calibri" w:hAnsi="Calibri" w:cs="Calibri"/>
          <w:sz w:val="20"/>
          <w:szCs w:val="20"/>
        </w:rPr>
        <w:t xml:space="preserve"> wskazuje na wzrost potrzeb</w:t>
      </w:r>
      <w:r w:rsidR="00AB43D8">
        <w:rPr>
          <w:rFonts w:ascii="Calibri" w:hAnsi="Calibri" w:cs="Calibri"/>
          <w:sz w:val="20"/>
          <w:szCs w:val="20"/>
        </w:rPr>
        <w:t xml:space="preserve"> w tym zakresie. O</w:t>
      </w:r>
      <w:r w:rsidRPr="00C4744D">
        <w:rPr>
          <w:rFonts w:ascii="Calibri" w:hAnsi="Calibri" w:cs="Calibri"/>
          <w:sz w:val="20"/>
          <w:szCs w:val="20"/>
        </w:rPr>
        <w:t>znacza, że leasing stał się w Polsce przewidywalnym i planowym narzędziem finansowania modernizacji floty, maszyn i urządzeń, wpisanym w naturalny cykl inwestycyjny przedsiębiorstw</w:t>
      </w:r>
      <w:r w:rsidR="00F60CDB">
        <w:rPr>
          <w:rFonts w:ascii="Calibri" w:hAnsi="Calibri" w:cs="Calibri"/>
          <w:sz w:val="20"/>
          <w:szCs w:val="20"/>
        </w:rPr>
        <w:t xml:space="preserve"> z perspektywami dalszego stabilnego rozwoju. </w:t>
      </w:r>
    </w:p>
    <w:p w14:paraId="470D8A9C" w14:textId="2B421277" w:rsidR="00AB67D9" w:rsidRPr="0093109A" w:rsidRDefault="00C4744D" w:rsidP="008F1D43">
      <w:pPr>
        <w:spacing w:before="240" w:after="240"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 xml:space="preserve">– </w:t>
      </w:r>
      <w:r w:rsidRPr="0093109A">
        <w:rPr>
          <w:rFonts w:ascii="Calibri" w:hAnsi="Calibri" w:cs="Calibri"/>
          <w:i/>
          <w:iCs/>
          <w:sz w:val="20"/>
          <w:szCs w:val="20"/>
        </w:rPr>
        <w:t>Polskie firmy wykorzystują leasing przede wszystkim do rozwoju i modernizacji – finansują maszyny, środki transportu i sprzęt niezbędny do zwiększania konkurencyjności. To finansowanie realnej gospodarki</w:t>
      </w:r>
      <w:r w:rsidRPr="00C4744D">
        <w:rPr>
          <w:rFonts w:ascii="Calibri" w:hAnsi="Calibri" w:cs="Calibri"/>
          <w:sz w:val="20"/>
          <w:szCs w:val="20"/>
        </w:rPr>
        <w:t xml:space="preserve"> – podkreśla </w:t>
      </w:r>
      <w:r w:rsidRPr="0093109A">
        <w:rPr>
          <w:rFonts w:ascii="Calibri" w:hAnsi="Calibri" w:cs="Calibri"/>
          <w:b/>
          <w:bCs/>
          <w:sz w:val="20"/>
          <w:szCs w:val="20"/>
        </w:rPr>
        <w:t>Monika Constant</w:t>
      </w:r>
      <w:r w:rsidRPr="00C4744D">
        <w:rPr>
          <w:rFonts w:ascii="Calibri" w:hAnsi="Calibri" w:cs="Calibri"/>
          <w:sz w:val="20"/>
          <w:szCs w:val="20"/>
        </w:rPr>
        <w:t xml:space="preserve">. – </w:t>
      </w:r>
      <w:r w:rsidRPr="0093109A">
        <w:rPr>
          <w:rFonts w:ascii="Calibri" w:hAnsi="Calibri" w:cs="Calibri"/>
          <w:i/>
          <w:iCs/>
          <w:sz w:val="20"/>
          <w:szCs w:val="20"/>
        </w:rPr>
        <w:t>Stabilność potrzeb leasingowych pokazuje, że przedsiębiorcy planują inwestycje w dłuższym horyzoncie i konsekwentnie je realizują.</w:t>
      </w:r>
    </w:p>
    <w:p w14:paraId="0EACA8E7" w14:textId="77777777" w:rsidR="00C4744D" w:rsidRPr="0093109A" w:rsidRDefault="00C4744D" w:rsidP="008F1D43">
      <w:pPr>
        <w:spacing w:before="240" w:after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93109A">
        <w:rPr>
          <w:rFonts w:ascii="Calibri" w:hAnsi="Calibri" w:cs="Calibri"/>
          <w:b/>
          <w:bCs/>
          <w:sz w:val="20"/>
          <w:szCs w:val="20"/>
        </w:rPr>
        <w:lastRenderedPageBreak/>
        <w:t>Profil klientów leasingu w Polsce</w:t>
      </w:r>
    </w:p>
    <w:p w14:paraId="10D869CE" w14:textId="3947FD73" w:rsidR="00C4744D" w:rsidRPr="00C4744D" w:rsidRDefault="00C4744D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>SAFE 2025 wskazuje wyraźny profil firm korzystających z leasingu</w:t>
      </w:r>
      <w:r w:rsidR="006A6015">
        <w:rPr>
          <w:rFonts w:ascii="Calibri" w:hAnsi="Calibri" w:cs="Calibri"/>
          <w:sz w:val="20"/>
          <w:szCs w:val="20"/>
        </w:rPr>
        <w:t xml:space="preserve"> w Polsce</w:t>
      </w:r>
      <w:r w:rsidRPr="00C4744D">
        <w:rPr>
          <w:rFonts w:ascii="Calibri" w:hAnsi="Calibri" w:cs="Calibri"/>
          <w:sz w:val="20"/>
          <w:szCs w:val="20"/>
        </w:rPr>
        <w:t>. Są to przede wszystkim:</w:t>
      </w:r>
    </w:p>
    <w:p w14:paraId="595FCD0A" w14:textId="1E60006F" w:rsidR="00C4744D" w:rsidRPr="00C4744D" w:rsidRDefault="00C4744D" w:rsidP="008F1D43">
      <w:pPr>
        <w:numPr>
          <w:ilvl w:val="0"/>
          <w:numId w:val="34"/>
        </w:num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>małe i średnie przedsiębiorstwa</w:t>
      </w:r>
    </w:p>
    <w:p w14:paraId="4B49E43B" w14:textId="77777777" w:rsidR="00C4744D" w:rsidRPr="00C4744D" w:rsidRDefault="00C4744D" w:rsidP="008F1D43">
      <w:pPr>
        <w:numPr>
          <w:ilvl w:val="0"/>
          <w:numId w:val="34"/>
        </w:num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>podmioty z sektorów kapitałochłonnych – przemysłu, transportu, budownictwa i usług technicznych,</w:t>
      </w:r>
    </w:p>
    <w:p w14:paraId="39598CD7" w14:textId="078D535D" w:rsidR="00C57FF6" w:rsidRPr="0030435E" w:rsidRDefault="00C4744D" w:rsidP="00C57FF6">
      <w:pPr>
        <w:numPr>
          <w:ilvl w:val="0"/>
          <w:numId w:val="34"/>
        </w:num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>firmy o ugruntowanej pozycji rynkowej, realizujące inwestycje odtworzeniowe i modernizacyjne.</w:t>
      </w:r>
    </w:p>
    <w:p w14:paraId="31860850" w14:textId="06C93D68" w:rsidR="00C57FF6" w:rsidRDefault="0030435E" w:rsidP="00C57FF6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Potwierdzają</w:t>
      </w:r>
      <w:r w:rsidR="00C57FF6">
        <w:rPr>
          <w:rFonts w:ascii="Calibri" w:hAnsi="Calibri" w:cs="Calibri"/>
          <w:sz w:val="20"/>
          <w:szCs w:val="20"/>
        </w:rPr>
        <w:t xml:space="preserve"> to dane </w:t>
      </w:r>
      <w:r>
        <w:rPr>
          <w:rFonts w:ascii="Calibri" w:hAnsi="Calibri" w:cs="Calibri"/>
          <w:sz w:val="20"/>
          <w:szCs w:val="20"/>
        </w:rPr>
        <w:t>Z</w:t>
      </w:r>
      <w:r w:rsidR="000F2412">
        <w:rPr>
          <w:rFonts w:ascii="Calibri" w:hAnsi="Calibri" w:cs="Calibri"/>
          <w:sz w:val="20"/>
          <w:szCs w:val="20"/>
        </w:rPr>
        <w:t xml:space="preserve">wiązku </w:t>
      </w:r>
      <w:r>
        <w:rPr>
          <w:rFonts w:ascii="Calibri" w:hAnsi="Calibri" w:cs="Calibri"/>
          <w:sz w:val="20"/>
          <w:szCs w:val="20"/>
        </w:rPr>
        <w:t>P</w:t>
      </w:r>
      <w:r w:rsidR="000F2412">
        <w:rPr>
          <w:rFonts w:ascii="Calibri" w:hAnsi="Calibri" w:cs="Calibri"/>
          <w:sz w:val="20"/>
          <w:szCs w:val="20"/>
        </w:rPr>
        <w:t xml:space="preserve">olskiego </w:t>
      </w:r>
      <w:r>
        <w:rPr>
          <w:rFonts w:ascii="Calibri" w:hAnsi="Calibri" w:cs="Calibri"/>
          <w:sz w:val="20"/>
          <w:szCs w:val="20"/>
        </w:rPr>
        <w:t>L</w:t>
      </w:r>
      <w:r w:rsidR="000F2412">
        <w:rPr>
          <w:rFonts w:ascii="Calibri" w:hAnsi="Calibri" w:cs="Calibri"/>
          <w:sz w:val="20"/>
          <w:szCs w:val="20"/>
        </w:rPr>
        <w:t>easingu</w:t>
      </w:r>
      <w:r>
        <w:rPr>
          <w:rFonts w:ascii="Calibri" w:hAnsi="Calibri" w:cs="Calibri"/>
          <w:sz w:val="20"/>
          <w:szCs w:val="20"/>
        </w:rPr>
        <w:t>. W</w:t>
      </w:r>
      <w:r w:rsidR="00C57FF6" w:rsidRPr="00C57FF6">
        <w:rPr>
          <w:rFonts w:ascii="Calibri" w:hAnsi="Calibri" w:cs="Calibri"/>
          <w:sz w:val="20"/>
          <w:szCs w:val="20"/>
        </w:rPr>
        <w:t xml:space="preserve"> 2025 roku mikro, małe i średnie przedsiębiorstwa odpowiadały za 70,</w:t>
      </w:r>
      <w:r w:rsidR="000F2412">
        <w:rPr>
          <w:rFonts w:ascii="Calibri" w:hAnsi="Calibri" w:cs="Calibri"/>
          <w:sz w:val="20"/>
          <w:szCs w:val="20"/>
        </w:rPr>
        <w:t>9%</w:t>
      </w:r>
      <w:r w:rsidR="00C57FF6" w:rsidRPr="00C57FF6">
        <w:rPr>
          <w:rFonts w:ascii="Calibri" w:hAnsi="Calibri" w:cs="Calibri"/>
          <w:sz w:val="20"/>
          <w:szCs w:val="20"/>
        </w:rPr>
        <w:t xml:space="preserve"> sfinansowanych inwestycji.</w:t>
      </w:r>
    </w:p>
    <w:p w14:paraId="1A94CE1B" w14:textId="5DE80FD9" w:rsidR="0030435E" w:rsidRPr="00C57FF6" w:rsidRDefault="0030435E" w:rsidP="00C57FF6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2AB4DEC9" wp14:editId="11728772">
            <wp:extent cx="5759450" cy="3551555"/>
            <wp:effectExtent l="0" t="0" r="0" b="0"/>
            <wp:docPr id="409509640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509640" name="Obraz 40950964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22C3E" w14:textId="77777777" w:rsidR="00C57FF6" w:rsidRDefault="00C57FF6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162C81FB" w14:textId="514E7BDA" w:rsidR="00AB67D9" w:rsidRPr="008F1D43" w:rsidRDefault="00C4744D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>Leasing pełni w Polsce przede wszystkim funkcję finansowania inwestycji i zwiększania potencjału produkcyjnego, a nie wyłącznie wsparcia krótkoterminowej płynności</w:t>
      </w:r>
      <w:r w:rsidR="00D11DE8">
        <w:rPr>
          <w:rFonts w:ascii="Calibri" w:hAnsi="Calibri" w:cs="Calibri"/>
          <w:sz w:val="20"/>
          <w:szCs w:val="20"/>
        </w:rPr>
        <w:t>.</w:t>
      </w:r>
    </w:p>
    <w:p w14:paraId="77B20C9C" w14:textId="293F421C" w:rsidR="00F05917" w:rsidRPr="008F1D43" w:rsidRDefault="00AB67D9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FD09D6">
        <w:rPr>
          <w:rFonts w:ascii="Calibri" w:hAnsi="Calibri" w:cs="Calibri"/>
          <w:i/>
          <w:iCs/>
          <w:sz w:val="20"/>
          <w:szCs w:val="20"/>
        </w:rPr>
        <w:t xml:space="preserve">- </w:t>
      </w:r>
      <w:r w:rsidRPr="00AB67D9">
        <w:rPr>
          <w:rFonts w:ascii="Calibri" w:hAnsi="Calibri" w:cs="Calibri"/>
          <w:i/>
          <w:iCs/>
          <w:sz w:val="20"/>
          <w:szCs w:val="20"/>
        </w:rPr>
        <w:t>Z badania można wywnioskować, że leasing wygrywa tam, gdzie bank jest zbyt restrykcyjny, czas decyzji ma znaczenie, a aktywo samo w sobie jest zabezpieczeniem</w:t>
      </w:r>
      <w:r w:rsidR="0089299B">
        <w:rPr>
          <w:rFonts w:ascii="Calibri" w:hAnsi="Calibri" w:cs="Calibri"/>
          <w:i/>
          <w:iCs/>
          <w:sz w:val="20"/>
          <w:szCs w:val="20"/>
        </w:rPr>
        <w:t>. To relatywnie bardziej dostępny kanał finansowania niż przeciętnie w UE</w:t>
      </w:r>
      <w:r w:rsidRPr="00FD09D6">
        <w:rPr>
          <w:rFonts w:ascii="Calibri" w:hAnsi="Calibri" w:cs="Calibri"/>
          <w:i/>
          <w:iCs/>
          <w:sz w:val="20"/>
          <w:szCs w:val="20"/>
        </w:rPr>
        <w:t xml:space="preserve"> – </w:t>
      </w:r>
      <w:r w:rsidRPr="00FD09D6">
        <w:rPr>
          <w:rFonts w:ascii="Calibri" w:hAnsi="Calibri" w:cs="Calibri"/>
          <w:sz w:val="20"/>
          <w:szCs w:val="20"/>
        </w:rPr>
        <w:t xml:space="preserve">wskazuje </w:t>
      </w:r>
      <w:r w:rsidRPr="00FD09D6">
        <w:rPr>
          <w:rFonts w:ascii="Calibri" w:hAnsi="Calibri" w:cs="Calibri"/>
          <w:b/>
          <w:bCs/>
          <w:sz w:val="20"/>
          <w:szCs w:val="20"/>
        </w:rPr>
        <w:t>Monika Constant</w:t>
      </w:r>
      <w:r w:rsidRPr="00FD09D6">
        <w:rPr>
          <w:rFonts w:ascii="Calibri" w:hAnsi="Calibri" w:cs="Calibri"/>
          <w:sz w:val="20"/>
          <w:szCs w:val="20"/>
        </w:rPr>
        <w:t>.</w:t>
      </w:r>
    </w:p>
    <w:p w14:paraId="2E6E202C" w14:textId="77777777" w:rsidR="00C4744D" w:rsidRPr="0093109A" w:rsidRDefault="00C4744D" w:rsidP="008F1D43">
      <w:pPr>
        <w:spacing w:before="240" w:after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93109A">
        <w:rPr>
          <w:rFonts w:ascii="Calibri" w:hAnsi="Calibri" w:cs="Calibri"/>
          <w:b/>
          <w:bCs/>
          <w:sz w:val="20"/>
          <w:szCs w:val="20"/>
        </w:rPr>
        <w:t>Stabilna dostępność finansowania</w:t>
      </w:r>
    </w:p>
    <w:p w14:paraId="51D4F4C0" w14:textId="0DFB9CBD" w:rsidR="00C4744D" w:rsidRDefault="00C4744D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lastRenderedPageBreak/>
        <w:t>76</w:t>
      </w:r>
      <w:r w:rsidR="00CC5F38">
        <w:rPr>
          <w:rFonts w:ascii="Calibri" w:hAnsi="Calibri" w:cs="Calibri"/>
          <w:sz w:val="20"/>
          <w:szCs w:val="20"/>
        </w:rPr>
        <w:t>%</w:t>
      </w:r>
      <w:r w:rsidRPr="00C4744D">
        <w:rPr>
          <w:rFonts w:ascii="Calibri" w:hAnsi="Calibri" w:cs="Calibri"/>
          <w:sz w:val="20"/>
          <w:szCs w:val="20"/>
        </w:rPr>
        <w:t xml:space="preserve"> polskich MŚP ocenia, że dostępność leasingu w ostatnich miesiącach nie zmieniła się (</w:t>
      </w:r>
      <w:r w:rsidR="00CC5F38">
        <w:rPr>
          <w:rFonts w:ascii="Calibri" w:hAnsi="Calibri" w:cs="Calibri"/>
          <w:sz w:val="20"/>
          <w:szCs w:val="20"/>
        </w:rPr>
        <w:t>70</w:t>
      </w:r>
      <w:r w:rsidRPr="00C4744D">
        <w:rPr>
          <w:rFonts w:ascii="Calibri" w:hAnsi="Calibri" w:cs="Calibri"/>
          <w:sz w:val="20"/>
          <w:szCs w:val="20"/>
        </w:rPr>
        <w:t xml:space="preserve"> proc. w 2024 r.), a jedynie 2</w:t>
      </w:r>
      <w:r w:rsidR="00CC5F38">
        <w:rPr>
          <w:rFonts w:ascii="Calibri" w:hAnsi="Calibri" w:cs="Calibri"/>
          <w:sz w:val="20"/>
          <w:szCs w:val="20"/>
        </w:rPr>
        <w:t>%</w:t>
      </w:r>
      <w:r w:rsidRPr="00C4744D">
        <w:rPr>
          <w:rFonts w:ascii="Calibri" w:hAnsi="Calibri" w:cs="Calibri"/>
          <w:sz w:val="20"/>
          <w:szCs w:val="20"/>
        </w:rPr>
        <w:t xml:space="preserve"> firm wskazuje na jej pogorszenie. Większość przedsiębiorców nie spodziewa się również pogorszenia warunków finansowania w najbliższych kwartałach.</w:t>
      </w:r>
    </w:p>
    <w:p w14:paraId="5643A186" w14:textId="2D1375C5" w:rsidR="00AB67D9" w:rsidRDefault="001E0734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 danych Związku Polskiego Leasingu wynika, że</w:t>
      </w:r>
      <w:r w:rsidRPr="001E0734">
        <w:rPr>
          <w:rFonts w:ascii="Calibri" w:hAnsi="Calibri" w:cs="Calibri"/>
          <w:sz w:val="20"/>
          <w:szCs w:val="20"/>
        </w:rPr>
        <w:t xml:space="preserve"> 2025 r. firmy leasingowe sfinansowały inwestycje </w:t>
      </w:r>
      <w:r>
        <w:rPr>
          <w:rFonts w:ascii="Calibri" w:hAnsi="Calibri" w:cs="Calibri"/>
          <w:sz w:val="20"/>
          <w:szCs w:val="20"/>
        </w:rPr>
        <w:t xml:space="preserve">przedsiębiorstw </w:t>
      </w:r>
      <w:r w:rsidRPr="001E0734">
        <w:rPr>
          <w:rFonts w:ascii="Calibri" w:hAnsi="Calibri" w:cs="Calibri"/>
          <w:sz w:val="20"/>
          <w:szCs w:val="20"/>
        </w:rPr>
        <w:t xml:space="preserve">o łącznej wartości </w:t>
      </w:r>
      <w:r w:rsidRPr="001E0734">
        <w:rPr>
          <w:rFonts w:ascii="Calibri" w:hAnsi="Calibri" w:cs="Calibri"/>
          <w:b/>
          <w:bCs/>
          <w:sz w:val="20"/>
          <w:szCs w:val="20"/>
        </w:rPr>
        <w:t>119,5 mld zł</w:t>
      </w:r>
      <w:r w:rsidRPr="001E0734">
        <w:rPr>
          <w:rFonts w:ascii="Calibri" w:hAnsi="Calibri" w:cs="Calibri"/>
          <w:sz w:val="20"/>
          <w:szCs w:val="20"/>
        </w:rPr>
        <w:t xml:space="preserve">, co oznacza wzrost o </w:t>
      </w:r>
      <w:r w:rsidRPr="001E0734">
        <w:rPr>
          <w:rFonts w:ascii="Calibri" w:hAnsi="Calibri" w:cs="Calibri"/>
          <w:b/>
          <w:bCs/>
          <w:sz w:val="20"/>
          <w:szCs w:val="20"/>
        </w:rPr>
        <w:t>8</w:t>
      </w:r>
      <w:r w:rsidR="00062CBF">
        <w:rPr>
          <w:rFonts w:ascii="Calibri" w:hAnsi="Calibri" w:cs="Calibri"/>
          <w:b/>
          <w:bCs/>
          <w:sz w:val="20"/>
          <w:szCs w:val="20"/>
        </w:rPr>
        <w:t>%</w:t>
      </w:r>
      <w:r w:rsidRPr="001E0734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AB67D9">
        <w:rPr>
          <w:rFonts w:ascii="Calibri" w:hAnsi="Calibri" w:cs="Calibri"/>
          <w:b/>
          <w:bCs/>
          <w:sz w:val="20"/>
          <w:szCs w:val="20"/>
        </w:rPr>
        <w:t>r/r</w:t>
      </w:r>
      <w:r w:rsidRPr="001E0734">
        <w:rPr>
          <w:rFonts w:ascii="Calibri" w:hAnsi="Calibri" w:cs="Calibri"/>
          <w:sz w:val="20"/>
          <w:szCs w:val="20"/>
        </w:rPr>
        <w:t>.</w:t>
      </w:r>
      <w:r w:rsidR="00975704">
        <w:rPr>
          <w:rFonts w:ascii="Calibri" w:hAnsi="Calibri" w:cs="Calibri"/>
          <w:sz w:val="20"/>
          <w:szCs w:val="20"/>
        </w:rPr>
        <w:t xml:space="preserve"> W </w:t>
      </w:r>
      <w:r w:rsidR="00975704" w:rsidRPr="00975704">
        <w:rPr>
          <w:rFonts w:ascii="Calibri" w:hAnsi="Calibri" w:cs="Calibri"/>
          <w:sz w:val="20"/>
          <w:szCs w:val="20"/>
        </w:rPr>
        <w:t xml:space="preserve">2026 roku wartość inwestycji sfinansowanych przez branżę leasingową może wzrosnąć do 129,7 mld zł, co oznacza </w:t>
      </w:r>
      <w:r w:rsidR="00062CBF">
        <w:rPr>
          <w:rFonts w:ascii="Calibri" w:hAnsi="Calibri" w:cs="Calibri"/>
          <w:sz w:val="20"/>
          <w:szCs w:val="20"/>
        </w:rPr>
        <w:t xml:space="preserve">podobne </w:t>
      </w:r>
      <w:r w:rsidR="00975704" w:rsidRPr="00975704">
        <w:rPr>
          <w:rFonts w:ascii="Calibri" w:hAnsi="Calibri" w:cs="Calibri"/>
          <w:sz w:val="20"/>
          <w:szCs w:val="20"/>
        </w:rPr>
        <w:t>tempo wzrostu</w:t>
      </w:r>
      <w:r w:rsidR="00062CBF">
        <w:rPr>
          <w:rFonts w:ascii="Calibri" w:hAnsi="Calibri" w:cs="Calibri"/>
          <w:sz w:val="20"/>
          <w:szCs w:val="20"/>
        </w:rPr>
        <w:t xml:space="preserve"> co rok wcześniej.</w:t>
      </w:r>
      <w:r w:rsidR="00975704" w:rsidRPr="00975704">
        <w:rPr>
          <w:rFonts w:ascii="Calibri" w:hAnsi="Calibri" w:cs="Calibri"/>
          <w:sz w:val="20"/>
          <w:szCs w:val="20"/>
        </w:rPr>
        <w:t xml:space="preserve"> </w:t>
      </w:r>
    </w:p>
    <w:p w14:paraId="22CEAE91" w14:textId="5263B3EB" w:rsidR="00AB67D9" w:rsidRPr="00764EDA" w:rsidRDefault="00975704" w:rsidP="008F1D43">
      <w:pPr>
        <w:spacing w:before="240" w:after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Pr="00975704">
        <w:rPr>
          <w:rFonts w:ascii="Calibri" w:hAnsi="Calibri" w:cs="Calibri"/>
          <w:i/>
          <w:iCs/>
          <w:sz w:val="20"/>
          <w:szCs w:val="20"/>
        </w:rPr>
        <w:t>Obecny rok będzie rokiem dużych inwestycji, głównie dzięki kumulacji wydatkowania pieniędzy unijnych z KPO oraz perspektywy finansowej 2021–2027. Szacujemy, że wydatki inwestycyjne finansowane z pieniędzy unijnych mogą wynieść około 182 mld zł, wobec ok. 63 mld zł w 2025 roku. Pieniądze unijne będą silnym katalizatorem inwestycji prywatnych, w tym inwestycji sektora MŚP, co będzie korzystne dla rynku leasingu </w:t>
      </w:r>
      <w:r w:rsidRPr="00975704">
        <w:rPr>
          <w:rFonts w:ascii="Calibri" w:hAnsi="Calibri" w:cs="Calibri"/>
          <w:sz w:val="20"/>
          <w:szCs w:val="20"/>
        </w:rPr>
        <w:t>– mówi </w:t>
      </w:r>
      <w:r w:rsidRPr="00975704">
        <w:rPr>
          <w:rFonts w:ascii="Calibri" w:hAnsi="Calibri" w:cs="Calibri"/>
          <w:b/>
          <w:bCs/>
          <w:sz w:val="20"/>
          <w:szCs w:val="20"/>
        </w:rPr>
        <w:t>Monika Constant.</w:t>
      </w:r>
    </w:p>
    <w:p w14:paraId="51A4E6D2" w14:textId="54A79E7E" w:rsidR="00AB67D9" w:rsidRPr="00C4744D" w:rsidRDefault="00C4744D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4744D">
        <w:rPr>
          <w:rFonts w:ascii="Calibri" w:hAnsi="Calibri" w:cs="Calibri"/>
          <w:sz w:val="20"/>
          <w:szCs w:val="20"/>
        </w:rPr>
        <w:t>Wyniki SAFE 2025 potwierdzają, że polski rynek leasingu należy do najbardziej rozwiniętych w Unii Europejskiej, a jego znaczenie dla sektora MŚP pozostaje wyjątkowo wysokie na tle innych państw członkowskich.</w:t>
      </w:r>
    </w:p>
    <w:p w14:paraId="268BAA90" w14:textId="77777777" w:rsidR="00C4744D" w:rsidRPr="0093109A" w:rsidRDefault="00C4744D" w:rsidP="008F1D43">
      <w:pPr>
        <w:spacing w:before="240" w:after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93109A">
        <w:rPr>
          <w:rFonts w:ascii="Calibri" w:hAnsi="Calibri" w:cs="Calibri"/>
          <w:b/>
          <w:bCs/>
          <w:sz w:val="20"/>
          <w:szCs w:val="20"/>
        </w:rPr>
        <w:t>O badaniu SAFE</w:t>
      </w:r>
    </w:p>
    <w:p w14:paraId="76A3830D" w14:textId="20058AA7" w:rsidR="00523036" w:rsidRDefault="00060808" w:rsidP="008F1D43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060808">
        <w:rPr>
          <w:rFonts w:ascii="Calibri" w:hAnsi="Calibri" w:cs="Calibri"/>
          <w:sz w:val="20"/>
          <w:szCs w:val="20"/>
        </w:rPr>
        <w:t xml:space="preserve">Badanie SAFE (Survey on the Access to Finance of Enterprises) jest prowadzonym </w:t>
      </w:r>
      <w:r w:rsidRPr="00062CBF">
        <w:rPr>
          <w:rFonts w:ascii="Calibri" w:hAnsi="Calibri" w:cs="Calibri"/>
          <w:sz w:val="20"/>
          <w:szCs w:val="20"/>
        </w:rPr>
        <w:t xml:space="preserve">przez Europejski Bank Centralny we współpracy z Komisją Europejską cyklicznym badaniem ankietowym opinii przedsiębiorstw na temat finansowania i dostępności instrumentów finansowych, w tym leasingu. </w:t>
      </w:r>
      <w:r w:rsidRPr="000E7227">
        <w:rPr>
          <w:rFonts w:ascii="Calibri" w:hAnsi="Calibri" w:cs="Calibri"/>
          <w:sz w:val="20"/>
          <w:szCs w:val="20"/>
        </w:rPr>
        <w:t>Wyniki są ważone pod kątem struktury branżowej</w:t>
      </w:r>
      <w:r w:rsidRPr="00060808">
        <w:rPr>
          <w:rFonts w:ascii="Calibri" w:hAnsi="Calibri" w:cs="Calibri"/>
          <w:sz w:val="20"/>
          <w:szCs w:val="20"/>
        </w:rPr>
        <w:t xml:space="preserve"> i wielkości firm, by odzwierciedlić realne warunki finansowania w poszczególnych krajach. </w:t>
      </w:r>
    </w:p>
    <w:p w14:paraId="7712F1C0" w14:textId="4995106A" w:rsidR="004503EC" w:rsidRPr="0007320F" w:rsidRDefault="00000000" w:rsidP="00FD09D6">
      <w:pPr>
        <w:spacing w:before="240" w:line="276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color w:val="0070C0"/>
          <w:sz w:val="32"/>
          <w:szCs w:val="32"/>
        </w:rPr>
        <w:pict w14:anchorId="6CFCD9B4">
          <v:rect id="_x0000_i1025" style="width:0;height:1.5pt" o:hralign="center" o:hrstd="t" o:hr="t" fillcolor="#a0a0a0" stroked="f"/>
        </w:pict>
      </w:r>
    </w:p>
    <w:p w14:paraId="40E5B297" w14:textId="77777777" w:rsidR="008B319C" w:rsidRPr="00B10084" w:rsidRDefault="008B319C" w:rsidP="00FD09D6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709C81FC" w14:textId="131E033F" w:rsidR="004F7B4A" w:rsidRDefault="004F7B4A" w:rsidP="00FD09D6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organizacja reprezentująca branżę leasingową w Polsce. Związek zrzesza 36 podmiotów obejmujące ponad 90% sektora: 35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jest aktywnym członkiem </w:t>
      </w:r>
      <w:r w:rsidR="00E76917" w:rsidRPr="00E76917">
        <w:rPr>
          <w:rFonts w:cstheme="minorHAnsi"/>
          <w:b/>
          <w:bCs/>
          <w:sz w:val="16"/>
          <w:szCs w:val="16"/>
          <w:shd w:val="clear" w:color="auto" w:fill="FFFFFF"/>
        </w:rPr>
        <w:t>Leaseurope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 – europejskiej federacji organizacji branży leasingowej i wynajmu pojazdów, zrzeszającej 45 stowarzyszeń z 32 krajów Europy.</w:t>
      </w:r>
      <w:r w:rsidR="00E76917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ciągu trzech dekad firmy leasingowe przeznaczyły ponad 1 bln zł na inwestycje przedsiębiorstw działających w Polsce. </w:t>
      </w:r>
    </w:p>
    <w:p w14:paraId="143F7770" w14:textId="77777777" w:rsidR="008B319C" w:rsidRPr="00B10084" w:rsidRDefault="008B319C" w:rsidP="00FD09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Default="008B319C" w:rsidP="00FD09D6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2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3E52F8E" w14:textId="3ED99F8F" w:rsidR="005E6FF1" w:rsidRDefault="00000000" w:rsidP="00FD09D6">
      <w:pPr>
        <w:spacing w:line="276" w:lineRule="auto"/>
        <w:jc w:val="both"/>
      </w:pPr>
      <w:r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62952D40" w14:textId="77777777" w:rsidR="008B319C" w:rsidRPr="00B10084" w:rsidRDefault="008B319C" w:rsidP="00FD09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0FF5DEC6" w14:textId="77777777" w:rsidR="008B319C" w:rsidRPr="00B10084" w:rsidRDefault="008B319C" w:rsidP="00FD09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B10084" w:rsidRDefault="008B319C" w:rsidP="00FD09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FE1A5E" w:rsidRDefault="008B319C" w:rsidP="00FD09D6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FE1A5E" w:rsidRDefault="008B319C" w:rsidP="00FD09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FE1A5E" w:rsidRDefault="008B319C" w:rsidP="00FD09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FE1A5E" w:rsidRDefault="008B319C" w:rsidP="00FD09D6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r w:rsidRPr="00FE1A5E">
        <w:rPr>
          <w:rFonts w:cstheme="minorHAnsi"/>
          <w:sz w:val="18"/>
          <w:szCs w:val="18"/>
          <w:lang w:val="de-DE"/>
        </w:rPr>
        <w:t xml:space="preserve">e-mail: katarzyna.ostrowska@leasing.org.pl </w:t>
      </w:r>
    </w:p>
    <w:p w14:paraId="73589F1E" w14:textId="77777777" w:rsidR="008B319C" w:rsidRPr="00FE1A5E" w:rsidRDefault="008B319C" w:rsidP="00FD09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C97560" w:rsidRDefault="008B319C" w:rsidP="00FD09D6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FE1A5E" w:rsidRDefault="008B319C" w:rsidP="00FD09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 w:rsidR="00FE1A5E"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FD09D6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lastRenderedPageBreak/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5"/>
                    </pic:cNvPr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FD09D6">
      <w:pPr>
        <w:spacing w:line="276" w:lineRule="auto"/>
        <w:jc w:val="both"/>
      </w:pPr>
    </w:p>
    <w:sectPr w:rsidR="008B319C" w:rsidRPr="004F4588" w:rsidSect="00684E74">
      <w:headerReference w:type="default" r:id="rId17"/>
      <w:footerReference w:type="default" r:id="rId18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4F16A" w14:textId="77777777" w:rsidR="00405607" w:rsidRDefault="00405607" w:rsidP="00C64445">
      <w:r>
        <w:separator/>
      </w:r>
    </w:p>
  </w:endnote>
  <w:endnote w:type="continuationSeparator" w:id="0">
    <w:p w14:paraId="6ECA050E" w14:textId="77777777" w:rsidR="00405607" w:rsidRDefault="00405607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F8A5F" w14:textId="77777777" w:rsidR="00405607" w:rsidRDefault="00405607" w:rsidP="00C64445">
      <w:r>
        <w:separator/>
      </w:r>
    </w:p>
  </w:footnote>
  <w:footnote w:type="continuationSeparator" w:id="0">
    <w:p w14:paraId="63249BE8" w14:textId="77777777" w:rsidR="00405607" w:rsidRDefault="00405607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D2188"/>
    <w:multiLevelType w:val="multilevel"/>
    <w:tmpl w:val="18EC6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5C36CD"/>
    <w:multiLevelType w:val="multilevel"/>
    <w:tmpl w:val="115C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1A83E47"/>
    <w:multiLevelType w:val="hybridMultilevel"/>
    <w:tmpl w:val="FAB0D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1E2F23"/>
    <w:multiLevelType w:val="multilevel"/>
    <w:tmpl w:val="3E3C0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383F5A"/>
    <w:multiLevelType w:val="hybridMultilevel"/>
    <w:tmpl w:val="F7982A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05604">
    <w:abstractNumId w:val="3"/>
  </w:num>
  <w:num w:numId="2" w16cid:durableId="9146334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29"/>
  </w:num>
  <w:num w:numId="4" w16cid:durableId="663321470">
    <w:abstractNumId w:val="34"/>
  </w:num>
  <w:num w:numId="5" w16cid:durableId="162018194">
    <w:abstractNumId w:val="4"/>
  </w:num>
  <w:num w:numId="6" w16cid:durableId="64644634">
    <w:abstractNumId w:val="12"/>
  </w:num>
  <w:num w:numId="7" w16cid:durableId="2027907007">
    <w:abstractNumId w:val="26"/>
  </w:num>
  <w:num w:numId="8" w16cid:durableId="471412180">
    <w:abstractNumId w:val="11"/>
  </w:num>
  <w:num w:numId="9" w16cid:durableId="980813205">
    <w:abstractNumId w:val="2"/>
  </w:num>
  <w:num w:numId="10" w16cid:durableId="793132770">
    <w:abstractNumId w:val="9"/>
  </w:num>
  <w:num w:numId="11" w16cid:durableId="1086851412">
    <w:abstractNumId w:val="17"/>
  </w:num>
  <w:num w:numId="12" w16cid:durableId="1174303547">
    <w:abstractNumId w:val="5"/>
  </w:num>
  <w:num w:numId="13" w16cid:durableId="2100129948">
    <w:abstractNumId w:val="31"/>
  </w:num>
  <w:num w:numId="14" w16cid:durableId="1563324192">
    <w:abstractNumId w:val="24"/>
  </w:num>
  <w:num w:numId="15" w16cid:durableId="705569770">
    <w:abstractNumId w:val="28"/>
  </w:num>
  <w:num w:numId="16" w16cid:durableId="111291106">
    <w:abstractNumId w:val="6"/>
  </w:num>
  <w:num w:numId="17" w16cid:durableId="1952204828">
    <w:abstractNumId w:val="23"/>
  </w:num>
  <w:num w:numId="18" w16cid:durableId="467361020">
    <w:abstractNumId w:val="14"/>
  </w:num>
  <w:num w:numId="19" w16cid:durableId="1832141202">
    <w:abstractNumId w:val="22"/>
  </w:num>
  <w:num w:numId="20" w16cid:durableId="1039624216">
    <w:abstractNumId w:val="10"/>
  </w:num>
  <w:num w:numId="21" w16cid:durableId="659163590">
    <w:abstractNumId w:val="13"/>
  </w:num>
  <w:num w:numId="22" w16cid:durableId="2110006445">
    <w:abstractNumId w:val="16"/>
  </w:num>
  <w:num w:numId="23" w16cid:durableId="1797944648">
    <w:abstractNumId w:val="1"/>
  </w:num>
  <w:num w:numId="24" w16cid:durableId="2082213637">
    <w:abstractNumId w:val="15"/>
  </w:num>
  <w:num w:numId="25" w16cid:durableId="1752896399">
    <w:abstractNumId w:val="32"/>
  </w:num>
  <w:num w:numId="26" w16cid:durableId="1489051389">
    <w:abstractNumId w:val="35"/>
  </w:num>
  <w:num w:numId="27" w16cid:durableId="1232807736">
    <w:abstractNumId w:val="8"/>
  </w:num>
  <w:num w:numId="28" w16cid:durableId="682897662">
    <w:abstractNumId w:val="18"/>
  </w:num>
  <w:num w:numId="29" w16cid:durableId="1839425136">
    <w:abstractNumId w:val="21"/>
  </w:num>
  <w:num w:numId="30" w16cid:durableId="1138953172">
    <w:abstractNumId w:val="7"/>
  </w:num>
  <w:num w:numId="31" w16cid:durableId="1981228885">
    <w:abstractNumId w:val="20"/>
  </w:num>
  <w:num w:numId="32" w16cid:durableId="162092142">
    <w:abstractNumId w:val="19"/>
  </w:num>
  <w:num w:numId="33" w16cid:durableId="178352538">
    <w:abstractNumId w:val="30"/>
  </w:num>
  <w:num w:numId="34" w16cid:durableId="1546064734">
    <w:abstractNumId w:val="0"/>
  </w:num>
  <w:num w:numId="35" w16cid:durableId="458770408">
    <w:abstractNumId w:val="25"/>
  </w:num>
  <w:num w:numId="36" w16cid:durableId="1195146110">
    <w:abstractNumId w:val="27"/>
  </w:num>
  <w:num w:numId="37" w16cid:durableId="63106282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19FB"/>
    <w:rsid w:val="00014B8D"/>
    <w:rsid w:val="0001765A"/>
    <w:rsid w:val="0002000A"/>
    <w:rsid w:val="000230B3"/>
    <w:rsid w:val="0002341D"/>
    <w:rsid w:val="00026258"/>
    <w:rsid w:val="00026267"/>
    <w:rsid w:val="000270DE"/>
    <w:rsid w:val="000279C9"/>
    <w:rsid w:val="00030CBE"/>
    <w:rsid w:val="000378A7"/>
    <w:rsid w:val="0004004B"/>
    <w:rsid w:val="00040A75"/>
    <w:rsid w:val="000426F8"/>
    <w:rsid w:val="00043408"/>
    <w:rsid w:val="00045B7F"/>
    <w:rsid w:val="0005239B"/>
    <w:rsid w:val="00054B09"/>
    <w:rsid w:val="00060808"/>
    <w:rsid w:val="00060AAA"/>
    <w:rsid w:val="00062CBF"/>
    <w:rsid w:val="00062F1F"/>
    <w:rsid w:val="00070A65"/>
    <w:rsid w:val="0007320F"/>
    <w:rsid w:val="00074185"/>
    <w:rsid w:val="00075D79"/>
    <w:rsid w:val="00080F9A"/>
    <w:rsid w:val="00085624"/>
    <w:rsid w:val="0008695F"/>
    <w:rsid w:val="00087C5A"/>
    <w:rsid w:val="00091456"/>
    <w:rsid w:val="00096CA6"/>
    <w:rsid w:val="000A145A"/>
    <w:rsid w:val="000B2597"/>
    <w:rsid w:val="000B25F9"/>
    <w:rsid w:val="000B42C8"/>
    <w:rsid w:val="000B5BB8"/>
    <w:rsid w:val="000C1967"/>
    <w:rsid w:val="000C430A"/>
    <w:rsid w:val="000C60C8"/>
    <w:rsid w:val="000D295A"/>
    <w:rsid w:val="000D34D8"/>
    <w:rsid w:val="000D734F"/>
    <w:rsid w:val="000E3F2C"/>
    <w:rsid w:val="000E4EC0"/>
    <w:rsid w:val="000E5778"/>
    <w:rsid w:val="000E7227"/>
    <w:rsid w:val="000F0265"/>
    <w:rsid w:val="000F1E11"/>
    <w:rsid w:val="000F2412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39A5"/>
    <w:rsid w:val="00124778"/>
    <w:rsid w:val="001253A1"/>
    <w:rsid w:val="00127BEE"/>
    <w:rsid w:val="00131D75"/>
    <w:rsid w:val="00133576"/>
    <w:rsid w:val="00141404"/>
    <w:rsid w:val="001416AC"/>
    <w:rsid w:val="00141CAA"/>
    <w:rsid w:val="0014353F"/>
    <w:rsid w:val="00144EE1"/>
    <w:rsid w:val="0014511E"/>
    <w:rsid w:val="001452BD"/>
    <w:rsid w:val="00145459"/>
    <w:rsid w:val="00152DE2"/>
    <w:rsid w:val="0015561F"/>
    <w:rsid w:val="00155F5D"/>
    <w:rsid w:val="00157180"/>
    <w:rsid w:val="001652B8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96147"/>
    <w:rsid w:val="001A06B9"/>
    <w:rsid w:val="001A4918"/>
    <w:rsid w:val="001A5150"/>
    <w:rsid w:val="001A6855"/>
    <w:rsid w:val="001A7D3A"/>
    <w:rsid w:val="001B0556"/>
    <w:rsid w:val="001B1BD1"/>
    <w:rsid w:val="001B37C5"/>
    <w:rsid w:val="001C02E9"/>
    <w:rsid w:val="001C2893"/>
    <w:rsid w:val="001C58A6"/>
    <w:rsid w:val="001D18E0"/>
    <w:rsid w:val="001D26CA"/>
    <w:rsid w:val="001D432B"/>
    <w:rsid w:val="001D46CD"/>
    <w:rsid w:val="001D58F4"/>
    <w:rsid w:val="001D6F0C"/>
    <w:rsid w:val="001E0734"/>
    <w:rsid w:val="001F1650"/>
    <w:rsid w:val="001F250F"/>
    <w:rsid w:val="001F2866"/>
    <w:rsid w:val="001F41AE"/>
    <w:rsid w:val="001F505B"/>
    <w:rsid w:val="001F57AC"/>
    <w:rsid w:val="001F7E64"/>
    <w:rsid w:val="002056E9"/>
    <w:rsid w:val="00212802"/>
    <w:rsid w:val="00214B24"/>
    <w:rsid w:val="00221364"/>
    <w:rsid w:val="0022388D"/>
    <w:rsid w:val="0022460D"/>
    <w:rsid w:val="002267A3"/>
    <w:rsid w:val="00232A86"/>
    <w:rsid w:val="00234973"/>
    <w:rsid w:val="00240195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63A2"/>
    <w:rsid w:val="0026795E"/>
    <w:rsid w:val="002733C7"/>
    <w:rsid w:val="0027542A"/>
    <w:rsid w:val="00277A38"/>
    <w:rsid w:val="002850D6"/>
    <w:rsid w:val="00292949"/>
    <w:rsid w:val="00292C1B"/>
    <w:rsid w:val="002951E3"/>
    <w:rsid w:val="00295E2E"/>
    <w:rsid w:val="00297079"/>
    <w:rsid w:val="002A12B0"/>
    <w:rsid w:val="002A13CB"/>
    <w:rsid w:val="002A359B"/>
    <w:rsid w:val="002A4F17"/>
    <w:rsid w:val="002B6EFC"/>
    <w:rsid w:val="002C2302"/>
    <w:rsid w:val="002C482E"/>
    <w:rsid w:val="002C5C7C"/>
    <w:rsid w:val="002C7453"/>
    <w:rsid w:val="002D134A"/>
    <w:rsid w:val="002D1D18"/>
    <w:rsid w:val="002D5E88"/>
    <w:rsid w:val="002D6FAD"/>
    <w:rsid w:val="002E0CDC"/>
    <w:rsid w:val="002E3500"/>
    <w:rsid w:val="002E460E"/>
    <w:rsid w:val="002E5331"/>
    <w:rsid w:val="002F0CFC"/>
    <w:rsid w:val="002F1271"/>
    <w:rsid w:val="002F15BD"/>
    <w:rsid w:val="002F5B77"/>
    <w:rsid w:val="002F5D61"/>
    <w:rsid w:val="0030270E"/>
    <w:rsid w:val="00302FCE"/>
    <w:rsid w:val="0030435E"/>
    <w:rsid w:val="003120D4"/>
    <w:rsid w:val="00312863"/>
    <w:rsid w:val="003133C9"/>
    <w:rsid w:val="00314258"/>
    <w:rsid w:val="00315F53"/>
    <w:rsid w:val="003214C3"/>
    <w:rsid w:val="00323759"/>
    <w:rsid w:val="00323ED1"/>
    <w:rsid w:val="00324735"/>
    <w:rsid w:val="0032528B"/>
    <w:rsid w:val="003266DF"/>
    <w:rsid w:val="00331675"/>
    <w:rsid w:val="00333A1E"/>
    <w:rsid w:val="00333E20"/>
    <w:rsid w:val="00344DAC"/>
    <w:rsid w:val="00346494"/>
    <w:rsid w:val="00351CD6"/>
    <w:rsid w:val="0035563D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91B3D"/>
    <w:rsid w:val="003921F7"/>
    <w:rsid w:val="00392256"/>
    <w:rsid w:val="00394118"/>
    <w:rsid w:val="003949C9"/>
    <w:rsid w:val="003A40AA"/>
    <w:rsid w:val="003B3761"/>
    <w:rsid w:val="003B3915"/>
    <w:rsid w:val="003B3CC3"/>
    <w:rsid w:val="003B4004"/>
    <w:rsid w:val="003C1EEB"/>
    <w:rsid w:val="003C2AAC"/>
    <w:rsid w:val="003C3AAE"/>
    <w:rsid w:val="003D27B8"/>
    <w:rsid w:val="003D38C0"/>
    <w:rsid w:val="003D5772"/>
    <w:rsid w:val="003D6437"/>
    <w:rsid w:val="003D712E"/>
    <w:rsid w:val="003D7E75"/>
    <w:rsid w:val="003D7EBE"/>
    <w:rsid w:val="003E27D4"/>
    <w:rsid w:val="003E3A83"/>
    <w:rsid w:val="003E6DA1"/>
    <w:rsid w:val="003E6FCE"/>
    <w:rsid w:val="003F19FE"/>
    <w:rsid w:val="003F330C"/>
    <w:rsid w:val="003F578D"/>
    <w:rsid w:val="003F76C1"/>
    <w:rsid w:val="004010E2"/>
    <w:rsid w:val="004011FD"/>
    <w:rsid w:val="004019F3"/>
    <w:rsid w:val="0040246D"/>
    <w:rsid w:val="00405607"/>
    <w:rsid w:val="00406D43"/>
    <w:rsid w:val="0040767D"/>
    <w:rsid w:val="0041741F"/>
    <w:rsid w:val="00424AF5"/>
    <w:rsid w:val="00425870"/>
    <w:rsid w:val="004264AB"/>
    <w:rsid w:val="00430485"/>
    <w:rsid w:val="004354F3"/>
    <w:rsid w:val="00436812"/>
    <w:rsid w:val="00442B70"/>
    <w:rsid w:val="004503EC"/>
    <w:rsid w:val="00450DF3"/>
    <w:rsid w:val="00451821"/>
    <w:rsid w:val="00451868"/>
    <w:rsid w:val="00454F26"/>
    <w:rsid w:val="00461B13"/>
    <w:rsid w:val="0046442C"/>
    <w:rsid w:val="00466719"/>
    <w:rsid w:val="0047287E"/>
    <w:rsid w:val="004729B0"/>
    <w:rsid w:val="004744E0"/>
    <w:rsid w:val="00475945"/>
    <w:rsid w:val="00475D70"/>
    <w:rsid w:val="0048231F"/>
    <w:rsid w:val="004839F4"/>
    <w:rsid w:val="004846DD"/>
    <w:rsid w:val="00484F1D"/>
    <w:rsid w:val="00485DF4"/>
    <w:rsid w:val="00486FEE"/>
    <w:rsid w:val="004902B9"/>
    <w:rsid w:val="004A7C2A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D5D13"/>
    <w:rsid w:val="004E22B6"/>
    <w:rsid w:val="004E3ADB"/>
    <w:rsid w:val="004E55E8"/>
    <w:rsid w:val="004E5A8F"/>
    <w:rsid w:val="004F420F"/>
    <w:rsid w:val="004F4588"/>
    <w:rsid w:val="004F6CF3"/>
    <w:rsid w:val="004F7B4A"/>
    <w:rsid w:val="00507647"/>
    <w:rsid w:val="00510ACB"/>
    <w:rsid w:val="00515D0B"/>
    <w:rsid w:val="00520C4B"/>
    <w:rsid w:val="00523036"/>
    <w:rsid w:val="00525BA2"/>
    <w:rsid w:val="0053224F"/>
    <w:rsid w:val="005360E6"/>
    <w:rsid w:val="00536AD0"/>
    <w:rsid w:val="005400DC"/>
    <w:rsid w:val="0054107B"/>
    <w:rsid w:val="0054694C"/>
    <w:rsid w:val="00547D16"/>
    <w:rsid w:val="0055022C"/>
    <w:rsid w:val="005549D9"/>
    <w:rsid w:val="00556701"/>
    <w:rsid w:val="00556E29"/>
    <w:rsid w:val="00557BA7"/>
    <w:rsid w:val="00560F08"/>
    <w:rsid w:val="0056247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647C"/>
    <w:rsid w:val="005B7DCB"/>
    <w:rsid w:val="005C00AE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4120"/>
    <w:rsid w:val="005E4DB0"/>
    <w:rsid w:val="005E6FF1"/>
    <w:rsid w:val="005F075A"/>
    <w:rsid w:val="005F2E6D"/>
    <w:rsid w:val="005F3FD4"/>
    <w:rsid w:val="005F6DB9"/>
    <w:rsid w:val="005F7BAE"/>
    <w:rsid w:val="006135C9"/>
    <w:rsid w:val="0061396D"/>
    <w:rsid w:val="00614497"/>
    <w:rsid w:val="0061555F"/>
    <w:rsid w:val="00623464"/>
    <w:rsid w:val="00625AD9"/>
    <w:rsid w:val="0063277D"/>
    <w:rsid w:val="00635BE4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4F20"/>
    <w:rsid w:val="0066677E"/>
    <w:rsid w:val="00670C6D"/>
    <w:rsid w:val="00672399"/>
    <w:rsid w:val="00673CAB"/>
    <w:rsid w:val="00673F17"/>
    <w:rsid w:val="00674C1C"/>
    <w:rsid w:val="00676325"/>
    <w:rsid w:val="00680A06"/>
    <w:rsid w:val="006827B9"/>
    <w:rsid w:val="00683456"/>
    <w:rsid w:val="00683AC5"/>
    <w:rsid w:val="00684E74"/>
    <w:rsid w:val="00690163"/>
    <w:rsid w:val="00691C41"/>
    <w:rsid w:val="00692578"/>
    <w:rsid w:val="00693171"/>
    <w:rsid w:val="0069433B"/>
    <w:rsid w:val="006A6015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16743"/>
    <w:rsid w:val="00720711"/>
    <w:rsid w:val="00721283"/>
    <w:rsid w:val="00721B74"/>
    <w:rsid w:val="00724480"/>
    <w:rsid w:val="00731419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4EDA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C8F"/>
    <w:rsid w:val="00784C71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C75D7"/>
    <w:rsid w:val="007E07D2"/>
    <w:rsid w:val="007E4575"/>
    <w:rsid w:val="007F0AD9"/>
    <w:rsid w:val="007F31C2"/>
    <w:rsid w:val="008031A6"/>
    <w:rsid w:val="008035D8"/>
    <w:rsid w:val="008077F1"/>
    <w:rsid w:val="0081108F"/>
    <w:rsid w:val="008116DD"/>
    <w:rsid w:val="00815865"/>
    <w:rsid w:val="008168EE"/>
    <w:rsid w:val="00821E0F"/>
    <w:rsid w:val="00821E6F"/>
    <w:rsid w:val="0082539A"/>
    <w:rsid w:val="0082600F"/>
    <w:rsid w:val="008301AE"/>
    <w:rsid w:val="00831C99"/>
    <w:rsid w:val="00832EBF"/>
    <w:rsid w:val="0084396B"/>
    <w:rsid w:val="00852158"/>
    <w:rsid w:val="00855B62"/>
    <w:rsid w:val="00856EC7"/>
    <w:rsid w:val="00857079"/>
    <w:rsid w:val="00862633"/>
    <w:rsid w:val="008648A3"/>
    <w:rsid w:val="00864E24"/>
    <w:rsid w:val="00872E13"/>
    <w:rsid w:val="00886BB3"/>
    <w:rsid w:val="00890AE9"/>
    <w:rsid w:val="00891E89"/>
    <w:rsid w:val="0089299B"/>
    <w:rsid w:val="008A0225"/>
    <w:rsid w:val="008A14BB"/>
    <w:rsid w:val="008A1BF1"/>
    <w:rsid w:val="008A208B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250A"/>
    <w:rsid w:val="008D3759"/>
    <w:rsid w:val="008D471D"/>
    <w:rsid w:val="008D5762"/>
    <w:rsid w:val="008D6328"/>
    <w:rsid w:val="008D6873"/>
    <w:rsid w:val="008D6FBD"/>
    <w:rsid w:val="008E131E"/>
    <w:rsid w:val="008F0B37"/>
    <w:rsid w:val="008F1D43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2672B"/>
    <w:rsid w:val="00927D97"/>
    <w:rsid w:val="0093109A"/>
    <w:rsid w:val="009321C6"/>
    <w:rsid w:val="009456F5"/>
    <w:rsid w:val="00946B4B"/>
    <w:rsid w:val="00950201"/>
    <w:rsid w:val="00953BBF"/>
    <w:rsid w:val="00955C69"/>
    <w:rsid w:val="00955EA8"/>
    <w:rsid w:val="00957E14"/>
    <w:rsid w:val="00960903"/>
    <w:rsid w:val="00960D76"/>
    <w:rsid w:val="00962A4D"/>
    <w:rsid w:val="00966734"/>
    <w:rsid w:val="0097187E"/>
    <w:rsid w:val="00975704"/>
    <w:rsid w:val="00976C5E"/>
    <w:rsid w:val="009801BA"/>
    <w:rsid w:val="009806D2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21F"/>
    <w:rsid w:val="009A5C33"/>
    <w:rsid w:val="009B1199"/>
    <w:rsid w:val="009B11A5"/>
    <w:rsid w:val="009B4E00"/>
    <w:rsid w:val="009B5647"/>
    <w:rsid w:val="009C1CDF"/>
    <w:rsid w:val="009C3762"/>
    <w:rsid w:val="009C60D1"/>
    <w:rsid w:val="009C78BF"/>
    <w:rsid w:val="009D1180"/>
    <w:rsid w:val="009D1AA5"/>
    <w:rsid w:val="009D25C4"/>
    <w:rsid w:val="009D3B57"/>
    <w:rsid w:val="009D3C3E"/>
    <w:rsid w:val="009D58D4"/>
    <w:rsid w:val="009E470B"/>
    <w:rsid w:val="009E6937"/>
    <w:rsid w:val="009E7BBF"/>
    <w:rsid w:val="009F077B"/>
    <w:rsid w:val="009F1573"/>
    <w:rsid w:val="009F4F44"/>
    <w:rsid w:val="009F63C5"/>
    <w:rsid w:val="00A01CB8"/>
    <w:rsid w:val="00A03F96"/>
    <w:rsid w:val="00A07089"/>
    <w:rsid w:val="00A14F4A"/>
    <w:rsid w:val="00A16F8A"/>
    <w:rsid w:val="00A17AA1"/>
    <w:rsid w:val="00A21BA5"/>
    <w:rsid w:val="00A2317F"/>
    <w:rsid w:val="00A24FC2"/>
    <w:rsid w:val="00A30B31"/>
    <w:rsid w:val="00A34754"/>
    <w:rsid w:val="00A40891"/>
    <w:rsid w:val="00A40A3F"/>
    <w:rsid w:val="00A419BD"/>
    <w:rsid w:val="00A43EBA"/>
    <w:rsid w:val="00A54888"/>
    <w:rsid w:val="00A637C7"/>
    <w:rsid w:val="00A66E77"/>
    <w:rsid w:val="00A67106"/>
    <w:rsid w:val="00A71322"/>
    <w:rsid w:val="00A742EE"/>
    <w:rsid w:val="00A8082C"/>
    <w:rsid w:val="00A8100E"/>
    <w:rsid w:val="00A84439"/>
    <w:rsid w:val="00A90151"/>
    <w:rsid w:val="00A911FE"/>
    <w:rsid w:val="00A9299F"/>
    <w:rsid w:val="00A95AE3"/>
    <w:rsid w:val="00A95BD9"/>
    <w:rsid w:val="00AA1CB5"/>
    <w:rsid w:val="00AA459E"/>
    <w:rsid w:val="00AA4A3B"/>
    <w:rsid w:val="00AA5602"/>
    <w:rsid w:val="00AB0DA1"/>
    <w:rsid w:val="00AB2926"/>
    <w:rsid w:val="00AB43D8"/>
    <w:rsid w:val="00AB58A6"/>
    <w:rsid w:val="00AB67D9"/>
    <w:rsid w:val="00AB7114"/>
    <w:rsid w:val="00AC0985"/>
    <w:rsid w:val="00AC0DB7"/>
    <w:rsid w:val="00AC2C1C"/>
    <w:rsid w:val="00AC3FF8"/>
    <w:rsid w:val="00AD09E9"/>
    <w:rsid w:val="00AD78C6"/>
    <w:rsid w:val="00AE0AE8"/>
    <w:rsid w:val="00AE10E4"/>
    <w:rsid w:val="00AE26BA"/>
    <w:rsid w:val="00AE296E"/>
    <w:rsid w:val="00AE3AE6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348A"/>
    <w:rsid w:val="00B444CA"/>
    <w:rsid w:val="00B45314"/>
    <w:rsid w:val="00B51A2B"/>
    <w:rsid w:val="00B54042"/>
    <w:rsid w:val="00B540BE"/>
    <w:rsid w:val="00B552A5"/>
    <w:rsid w:val="00B55308"/>
    <w:rsid w:val="00B55721"/>
    <w:rsid w:val="00B60380"/>
    <w:rsid w:val="00B610FB"/>
    <w:rsid w:val="00B65C8A"/>
    <w:rsid w:val="00B67B73"/>
    <w:rsid w:val="00B701CB"/>
    <w:rsid w:val="00B709C8"/>
    <w:rsid w:val="00B7633F"/>
    <w:rsid w:val="00B7796F"/>
    <w:rsid w:val="00B81A10"/>
    <w:rsid w:val="00B81E5C"/>
    <w:rsid w:val="00B8653E"/>
    <w:rsid w:val="00B91EC4"/>
    <w:rsid w:val="00B94985"/>
    <w:rsid w:val="00B967B4"/>
    <w:rsid w:val="00BA64DF"/>
    <w:rsid w:val="00BB00F0"/>
    <w:rsid w:val="00BB036F"/>
    <w:rsid w:val="00BB1196"/>
    <w:rsid w:val="00BB1D17"/>
    <w:rsid w:val="00BB5B97"/>
    <w:rsid w:val="00BB7AF4"/>
    <w:rsid w:val="00BC1C89"/>
    <w:rsid w:val="00BC4C8E"/>
    <w:rsid w:val="00BD5F30"/>
    <w:rsid w:val="00BD5FF1"/>
    <w:rsid w:val="00BE0CBD"/>
    <w:rsid w:val="00BE1A8A"/>
    <w:rsid w:val="00BE2DDF"/>
    <w:rsid w:val="00BF5B16"/>
    <w:rsid w:val="00C0069B"/>
    <w:rsid w:val="00C022A4"/>
    <w:rsid w:val="00C02CD2"/>
    <w:rsid w:val="00C04712"/>
    <w:rsid w:val="00C10C12"/>
    <w:rsid w:val="00C14F91"/>
    <w:rsid w:val="00C161A6"/>
    <w:rsid w:val="00C166CE"/>
    <w:rsid w:val="00C17E3E"/>
    <w:rsid w:val="00C17FD0"/>
    <w:rsid w:val="00C210E9"/>
    <w:rsid w:val="00C24415"/>
    <w:rsid w:val="00C26061"/>
    <w:rsid w:val="00C275F6"/>
    <w:rsid w:val="00C3055E"/>
    <w:rsid w:val="00C32EE2"/>
    <w:rsid w:val="00C35E0E"/>
    <w:rsid w:val="00C44E51"/>
    <w:rsid w:val="00C47213"/>
    <w:rsid w:val="00C4744D"/>
    <w:rsid w:val="00C531A1"/>
    <w:rsid w:val="00C5378B"/>
    <w:rsid w:val="00C54BD5"/>
    <w:rsid w:val="00C55791"/>
    <w:rsid w:val="00C56178"/>
    <w:rsid w:val="00C5795D"/>
    <w:rsid w:val="00C57FF6"/>
    <w:rsid w:val="00C615AD"/>
    <w:rsid w:val="00C62411"/>
    <w:rsid w:val="00C62C56"/>
    <w:rsid w:val="00C62D20"/>
    <w:rsid w:val="00C64445"/>
    <w:rsid w:val="00C6627E"/>
    <w:rsid w:val="00C6777F"/>
    <w:rsid w:val="00C75834"/>
    <w:rsid w:val="00C81248"/>
    <w:rsid w:val="00C81AC5"/>
    <w:rsid w:val="00C8275A"/>
    <w:rsid w:val="00C8407A"/>
    <w:rsid w:val="00C85AE8"/>
    <w:rsid w:val="00C936BC"/>
    <w:rsid w:val="00C94416"/>
    <w:rsid w:val="00CA30A6"/>
    <w:rsid w:val="00CB23AD"/>
    <w:rsid w:val="00CB36B5"/>
    <w:rsid w:val="00CC0AF8"/>
    <w:rsid w:val="00CC1A8D"/>
    <w:rsid w:val="00CC5F38"/>
    <w:rsid w:val="00CD267F"/>
    <w:rsid w:val="00CD4414"/>
    <w:rsid w:val="00CD5B77"/>
    <w:rsid w:val="00CD71F5"/>
    <w:rsid w:val="00CD778D"/>
    <w:rsid w:val="00CE3200"/>
    <w:rsid w:val="00CE5195"/>
    <w:rsid w:val="00CE5251"/>
    <w:rsid w:val="00CF2264"/>
    <w:rsid w:val="00CF7028"/>
    <w:rsid w:val="00D026C6"/>
    <w:rsid w:val="00D04DB8"/>
    <w:rsid w:val="00D07004"/>
    <w:rsid w:val="00D11DE8"/>
    <w:rsid w:val="00D12341"/>
    <w:rsid w:val="00D12F4C"/>
    <w:rsid w:val="00D30671"/>
    <w:rsid w:val="00D317BF"/>
    <w:rsid w:val="00D319CD"/>
    <w:rsid w:val="00D321A0"/>
    <w:rsid w:val="00D330A6"/>
    <w:rsid w:val="00D41658"/>
    <w:rsid w:val="00D4219A"/>
    <w:rsid w:val="00D427D5"/>
    <w:rsid w:val="00D43813"/>
    <w:rsid w:val="00D45001"/>
    <w:rsid w:val="00D45644"/>
    <w:rsid w:val="00D45A3B"/>
    <w:rsid w:val="00D47BA5"/>
    <w:rsid w:val="00D50FA9"/>
    <w:rsid w:val="00D550DD"/>
    <w:rsid w:val="00D574EB"/>
    <w:rsid w:val="00D603C4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908F6"/>
    <w:rsid w:val="00D91776"/>
    <w:rsid w:val="00D91A67"/>
    <w:rsid w:val="00D92F08"/>
    <w:rsid w:val="00D94CED"/>
    <w:rsid w:val="00D97F2C"/>
    <w:rsid w:val="00DA1C4D"/>
    <w:rsid w:val="00DA1F55"/>
    <w:rsid w:val="00DA490B"/>
    <w:rsid w:val="00DA50D5"/>
    <w:rsid w:val="00DA5D40"/>
    <w:rsid w:val="00DB2380"/>
    <w:rsid w:val="00DB3348"/>
    <w:rsid w:val="00DC0DAA"/>
    <w:rsid w:val="00DC22BC"/>
    <w:rsid w:val="00DD53DF"/>
    <w:rsid w:val="00DE054C"/>
    <w:rsid w:val="00DE1A54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6041"/>
    <w:rsid w:val="00DF68D7"/>
    <w:rsid w:val="00DF69A4"/>
    <w:rsid w:val="00E05D99"/>
    <w:rsid w:val="00E105C4"/>
    <w:rsid w:val="00E10A3F"/>
    <w:rsid w:val="00E10BA8"/>
    <w:rsid w:val="00E16F93"/>
    <w:rsid w:val="00E200FB"/>
    <w:rsid w:val="00E2200F"/>
    <w:rsid w:val="00E23318"/>
    <w:rsid w:val="00E25D87"/>
    <w:rsid w:val="00E2649F"/>
    <w:rsid w:val="00E3337A"/>
    <w:rsid w:val="00E3408E"/>
    <w:rsid w:val="00E40B44"/>
    <w:rsid w:val="00E47BE0"/>
    <w:rsid w:val="00E55A19"/>
    <w:rsid w:val="00E56688"/>
    <w:rsid w:val="00E56D50"/>
    <w:rsid w:val="00E63AFB"/>
    <w:rsid w:val="00E6407D"/>
    <w:rsid w:val="00E65D9D"/>
    <w:rsid w:val="00E71358"/>
    <w:rsid w:val="00E720D9"/>
    <w:rsid w:val="00E7566B"/>
    <w:rsid w:val="00E76917"/>
    <w:rsid w:val="00E76AED"/>
    <w:rsid w:val="00E84818"/>
    <w:rsid w:val="00E86676"/>
    <w:rsid w:val="00E873EF"/>
    <w:rsid w:val="00E90745"/>
    <w:rsid w:val="00E94051"/>
    <w:rsid w:val="00E96ADD"/>
    <w:rsid w:val="00E97237"/>
    <w:rsid w:val="00EA7B17"/>
    <w:rsid w:val="00EB0EE6"/>
    <w:rsid w:val="00EB7572"/>
    <w:rsid w:val="00EC2E7C"/>
    <w:rsid w:val="00EC2F5F"/>
    <w:rsid w:val="00EC3E37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025F0"/>
    <w:rsid w:val="00F05917"/>
    <w:rsid w:val="00F10436"/>
    <w:rsid w:val="00F14FDE"/>
    <w:rsid w:val="00F2323A"/>
    <w:rsid w:val="00F249B1"/>
    <w:rsid w:val="00F25DCB"/>
    <w:rsid w:val="00F31C6E"/>
    <w:rsid w:val="00F3288B"/>
    <w:rsid w:val="00F3663A"/>
    <w:rsid w:val="00F46D10"/>
    <w:rsid w:val="00F522CD"/>
    <w:rsid w:val="00F52B20"/>
    <w:rsid w:val="00F547AE"/>
    <w:rsid w:val="00F54E67"/>
    <w:rsid w:val="00F55061"/>
    <w:rsid w:val="00F55548"/>
    <w:rsid w:val="00F56A8C"/>
    <w:rsid w:val="00F57C35"/>
    <w:rsid w:val="00F6002B"/>
    <w:rsid w:val="00F60963"/>
    <w:rsid w:val="00F60CDB"/>
    <w:rsid w:val="00F614AB"/>
    <w:rsid w:val="00F64BF2"/>
    <w:rsid w:val="00F66E00"/>
    <w:rsid w:val="00F6770D"/>
    <w:rsid w:val="00F67EED"/>
    <w:rsid w:val="00F70526"/>
    <w:rsid w:val="00F83A99"/>
    <w:rsid w:val="00F9140D"/>
    <w:rsid w:val="00F92D56"/>
    <w:rsid w:val="00F94470"/>
    <w:rsid w:val="00F968DA"/>
    <w:rsid w:val="00F97C0C"/>
    <w:rsid w:val="00FA2042"/>
    <w:rsid w:val="00FA275A"/>
    <w:rsid w:val="00FA7865"/>
    <w:rsid w:val="00FB3A65"/>
    <w:rsid w:val="00FB524A"/>
    <w:rsid w:val="00FB560E"/>
    <w:rsid w:val="00FB5D97"/>
    <w:rsid w:val="00FB644E"/>
    <w:rsid w:val="00FB747A"/>
    <w:rsid w:val="00FC0C3E"/>
    <w:rsid w:val="00FC1A0F"/>
    <w:rsid w:val="00FC4DBA"/>
    <w:rsid w:val="00FD09D6"/>
    <w:rsid w:val="00FD2632"/>
    <w:rsid w:val="00FD3141"/>
    <w:rsid w:val="00FD60DA"/>
    <w:rsid w:val="00FD6C7A"/>
    <w:rsid w:val="00FD6FC4"/>
    <w:rsid w:val="00FE0740"/>
    <w:rsid w:val="00FE07F2"/>
    <w:rsid w:val="00FE1A5E"/>
    <w:rsid w:val="00FE40D7"/>
    <w:rsid w:val="00FE452A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inkedin.com/company/zwiazek-polskiego-leasingu-z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asing.org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s://twitter.com/ZwiazekLeasingu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6</Pages>
  <Words>965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220</cp:revision>
  <cp:lastPrinted>2026-02-24T14:32:00Z</cp:lastPrinted>
  <dcterms:created xsi:type="dcterms:W3CDTF">2025-08-04T13:31:00Z</dcterms:created>
  <dcterms:modified xsi:type="dcterms:W3CDTF">2026-02-25T13:01:00Z</dcterms:modified>
</cp:coreProperties>
</file>