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181" w14:textId="001EFB4F" w:rsidR="005E6FF1" w:rsidRPr="00E475B1" w:rsidRDefault="00133576" w:rsidP="003120D4">
      <w:pPr>
        <w:pStyle w:val="Tekstpodstawowy"/>
        <w:spacing w:line="276" w:lineRule="auto"/>
        <w:jc w:val="both"/>
        <w:rPr>
          <w:rFonts w:cstheme="minorHAnsi"/>
          <w:b/>
          <w:bCs/>
        </w:rPr>
      </w:pPr>
      <w:r w:rsidRPr="00E475B1">
        <w:rPr>
          <w:rFonts w:cstheme="minorHAnsi"/>
          <w:b/>
          <w:bCs/>
        </w:rPr>
        <w:t>Informacja prasowa</w:t>
      </w:r>
    </w:p>
    <w:p w14:paraId="3154BEE1" w14:textId="3FEA1618" w:rsidR="00632958" w:rsidRPr="005D419C" w:rsidRDefault="00632958" w:rsidP="005E6FF1">
      <w:pPr>
        <w:spacing w:before="240" w:after="240"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632958">
        <w:rPr>
          <w:rFonts w:cstheme="minorHAnsi"/>
          <w:b/>
          <w:bCs/>
          <w:color w:val="0070C0"/>
          <w:sz w:val="32"/>
          <w:szCs w:val="32"/>
        </w:rPr>
        <w:t xml:space="preserve">Rekord </w:t>
      </w:r>
      <w:r w:rsidRPr="00696F03">
        <w:rPr>
          <w:rFonts w:cstheme="minorHAnsi"/>
          <w:b/>
          <w:bCs/>
          <w:color w:val="0070C0"/>
          <w:sz w:val="32"/>
          <w:szCs w:val="32"/>
        </w:rPr>
        <w:t>satysfakcji w leasingu</w:t>
      </w:r>
      <w:r w:rsidR="00EE5717" w:rsidRPr="00696F03">
        <w:rPr>
          <w:rFonts w:cstheme="minorHAnsi"/>
          <w:b/>
          <w:bCs/>
          <w:color w:val="0070C0"/>
          <w:sz w:val="32"/>
          <w:szCs w:val="32"/>
        </w:rPr>
        <w:t xml:space="preserve"> </w:t>
      </w:r>
      <w:r w:rsidR="00EE5717">
        <w:rPr>
          <w:rFonts w:cstheme="minorHAnsi"/>
          <w:b/>
          <w:bCs/>
          <w:color w:val="0070C0"/>
          <w:sz w:val="32"/>
          <w:szCs w:val="32"/>
        </w:rPr>
        <w:t>– najnowsze badanie ZPL</w:t>
      </w:r>
    </w:p>
    <w:p w14:paraId="543FE9B5" w14:textId="295F79F0" w:rsidR="009042EE" w:rsidRPr="009042EE" w:rsidRDefault="009042EE" w:rsidP="000254F1">
      <w:pPr>
        <w:pStyle w:val="Akapitzlist"/>
        <w:numPr>
          <w:ilvl w:val="0"/>
          <w:numId w:val="35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 w:rsidRPr="009042EE">
        <w:rPr>
          <w:rFonts w:ascii="Calibri" w:hAnsi="Calibri" w:cs="Calibri"/>
          <w:b/>
          <w:bCs/>
        </w:rPr>
        <w:t xml:space="preserve">Wzrosła skłonność do polecania leasingu jako formy finansowania (78 proc.), a </w:t>
      </w:r>
      <w:r w:rsidR="00EE5717">
        <w:rPr>
          <w:rFonts w:ascii="Calibri" w:hAnsi="Calibri" w:cs="Calibri"/>
          <w:b/>
          <w:bCs/>
        </w:rPr>
        <w:t>prawie</w:t>
      </w:r>
      <w:r w:rsidRPr="009042EE">
        <w:rPr>
          <w:rFonts w:ascii="Calibri" w:hAnsi="Calibri" w:cs="Calibri"/>
          <w:b/>
          <w:bCs/>
        </w:rPr>
        <w:t xml:space="preserve"> połowa przedsiębiorców nie rozważała alternatywnych źródeł finansowania</w:t>
      </w:r>
    </w:p>
    <w:p w14:paraId="32F59441" w14:textId="34A3F1FC" w:rsidR="009042EE" w:rsidRPr="009042EE" w:rsidRDefault="009042EE" w:rsidP="000254F1">
      <w:pPr>
        <w:pStyle w:val="Akapitzlist"/>
        <w:numPr>
          <w:ilvl w:val="0"/>
          <w:numId w:val="35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 w:rsidRPr="009042EE">
        <w:rPr>
          <w:rFonts w:ascii="Calibri" w:hAnsi="Calibri" w:cs="Calibri"/>
          <w:b/>
          <w:bCs/>
        </w:rPr>
        <w:t>Leasing najczęściej konkuruje z najmem długoterminowym</w:t>
      </w:r>
      <w:r w:rsidR="00EE5717">
        <w:rPr>
          <w:rFonts w:ascii="Calibri" w:hAnsi="Calibri" w:cs="Calibri"/>
          <w:b/>
          <w:bCs/>
        </w:rPr>
        <w:t xml:space="preserve">, </w:t>
      </w:r>
      <w:r w:rsidRPr="009042EE">
        <w:rPr>
          <w:rFonts w:ascii="Calibri" w:hAnsi="Calibri" w:cs="Calibri"/>
          <w:b/>
          <w:bCs/>
        </w:rPr>
        <w:t xml:space="preserve">finansowaniem z </w:t>
      </w:r>
      <w:r w:rsidR="00EE5717">
        <w:rPr>
          <w:rFonts w:ascii="Calibri" w:hAnsi="Calibri" w:cs="Calibri"/>
          <w:b/>
          <w:bCs/>
        </w:rPr>
        <w:t>pieniędzy</w:t>
      </w:r>
      <w:r w:rsidRPr="009042EE">
        <w:rPr>
          <w:rFonts w:ascii="Calibri" w:hAnsi="Calibri" w:cs="Calibri"/>
          <w:b/>
          <w:bCs/>
        </w:rPr>
        <w:t xml:space="preserve"> własnych oraz kredytem bankowym</w:t>
      </w:r>
    </w:p>
    <w:p w14:paraId="124550BE" w14:textId="77777777" w:rsidR="009042EE" w:rsidRPr="009042EE" w:rsidRDefault="009042EE" w:rsidP="000254F1">
      <w:pPr>
        <w:pStyle w:val="Akapitzlist"/>
        <w:numPr>
          <w:ilvl w:val="0"/>
          <w:numId w:val="35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 w:rsidRPr="009042EE">
        <w:rPr>
          <w:rFonts w:ascii="Calibri" w:hAnsi="Calibri" w:cs="Calibri"/>
          <w:b/>
          <w:bCs/>
        </w:rPr>
        <w:t>Przedsiębiorcy wskazują zwykle 2–3 kluczowe czynniki wyboru firmy leasingowej – najczęściej są to warunki i parametry finansowe, a także szybki i prosty proces, sprawna komunikacja oraz zaufanie do marki</w:t>
      </w:r>
    </w:p>
    <w:p w14:paraId="5BD290C6" w14:textId="77777777" w:rsidR="00AB5A91" w:rsidRDefault="00EE5717" w:rsidP="00AB5A91">
      <w:pPr>
        <w:pStyle w:val="Akapitzlist"/>
        <w:numPr>
          <w:ilvl w:val="0"/>
          <w:numId w:val="35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Prawie połowa </w:t>
      </w:r>
      <w:r w:rsidRPr="009042EE">
        <w:rPr>
          <w:rFonts w:ascii="Calibri" w:hAnsi="Calibri" w:cs="Calibri"/>
          <w:b/>
          <w:bCs/>
        </w:rPr>
        <w:t>przedsiębiorców</w:t>
      </w:r>
      <w:r>
        <w:rPr>
          <w:rFonts w:ascii="Calibri" w:hAnsi="Calibri" w:cs="Calibri"/>
          <w:b/>
          <w:bCs/>
        </w:rPr>
        <w:t xml:space="preserve"> </w:t>
      </w:r>
      <w:r w:rsidR="009042EE" w:rsidRPr="00EE5717">
        <w:rPr>
          <w:rFonts w:ascii="Calibri" w:hAnsi="Calibri" w:cs="Calibri"/>
          <w:b/>
          <w:bCs/>
        </w:rPr>
        <w:t>nie akceptuje</w:t>
      </w:r>
      <w:r w:rsidRPr="00EE5717">
        <w:rPr>
          <w:rFonts w:ascii="Calibri" w:hAnsi="Calibri" w:cs="Calibri"/>
          <w:b/>
          <w:bCs/>
        </w:rPr>
        <w:t xml:space="preserve"> </w:t>
      </w:r>
      <w:r w:rsidRPr="009042EE">
        <w:rPr>
          <w:rFonts w:ascii="Calibri" w:hAnsi="Calibri" w:cs="Calibri"/>
          <w:b/>
          <w:bCs/>
        </w:rPr>
        <w:t>automatyzacji lub AI</w:t>
      </w:r>
      <w:r w:rsidR="009042EE" w:rsidRPr="00EE5717">
        <w:rPr>
          <w:rFonts w:ascii="Calibri" w:hAnsi="Calibri" w:cs="Calibri"/>
          <w:b/>
          <w:bCs/>
        </w:rPr>
        <w:t xml:space="preserve"> na żadnym etapie</w:t>
      </w:r>
      <w:r>
        <w:rPr>
          <w:rFonts w:ascii="Calibri" w:hAnsi="Calibri" w:cs="Calibri"/>
          <w:b/>
          <w:bCs/>
        </w:rPr>
        <w:t xml:space="preserve"> procesu leasingowego</w:t>
      </w:r>
    </w:p>
    <w:p w14:paraId="40D73D02" w14:textId="275D2663" w:rsidR="00070BD0" w:rsidRDefault="005E6FF1" w:rsidP="00EE5717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E5717">
        <w:rPr>
          <w:rFonts w:ascii="Calibri" w:hAnsi="Calibri" w:cs="Calibri"/>
          <w:b/>
          <w:bCs/>
          <w:sz w:val="20"/>
          <w:szCs w:val="20"/>
        </w:rPr>
        <w:t xml:space="preserve">Warszawa, </w:t>
      </w:r>
      <w:r w:rsidR="00973A18">
        <w:rPr>
          <w:rFonts w:ascii="Calibri" w:hAnsi="Calibri" w:cs="Calibri"/>
          <w:b/>
          <w:bCs/>
          <w:sz w:val="20"/>
          <w:szCs w:val="20"/>
        </w:rPr>
        <w:t>20</w:t>
      </w:r>
      <w:r w:rsidR="003277ED" w:rsidRPr="00EE5717">
        <w:rPr>
          <w:rFonts w:ascii="Calibri" w:hAnsi="Calibri" w:cs="Calibri"/>
          <w:b/>
          <w:bCs/>
          <w:sz w:val="20"/>
          <w:szCs w:val="20"/>
        </w:rPr>
        <w:t xml:space="preserve"> kwietnia </w:t>
      </w:r>
      <w:r w:rsidRPr="00EE5717">
        <w:rPr>
          <w:rFonts w:ascii="Calibri" w:hAnsi="Calibri" w:cs="Calibri"/>
          <w:b/>
          <w:bCs/>
          <w:sz w:val="20"/>
          <w:szCs w:val="20"/>
        </w:rPr>
        <w:t xml:space="preserve">2026 r. </w:t>
      </w:r>
      <w:r w:rsidR="003277ED" w:rsidRPr="00EE5717">
        <w:rPr>
          <w:rFonts w:ascii="Calibri" w:hAnsi="Calibri" w:cs="Calibri"/>
          <w:b/>
          <w:bCs/>
          <w:sz w:val="20"/>
          <w:szCs w:val="20"/>
        </w:rPr>
        <w:t>–</w:t>
      </w:r>
      <w:r w:rsidR="00485DF4" w:rsidRPr="00EE5717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070BD0" w:rsidRPr="00070BD0">
        <w:rPr>
          <w:rFonts w:ascii="Calibri" w:hAnsi="Calibri" w:cs="Calibri"/>
          <w:sz w:val="20"/>
          <w:szCs w:val="20"/>
        </w:rPr>
        <w:t xml:space="preserve">Leasing w Polsce osiągnął wyjątkowo wysoki poziom satysfakcji klientów. W najnowszym badaniu Związku Polskiego Leasingu wśród klientów firm leasingowych wskaźnik NPS wzrósł do +74,3 z +59,5 rok wcześniej, co jest najwyższym wynikiem </w:t>
      </w:r>
      <w:r w:rsidR="00070BD0" w:rsidRPr="00973A18">
        <w:rPr>
          <w:rFonts w:ascii="Calibri" w:hAnsi="Calibri" w:cs="Calibri"/>
          <w:sz w:val="20"/>
          <w:szCs w:val="20"/>
        </w:rPr>
        <w:t>w historii pomiarów i potwierdza rosnącą skłonność przedsiębiorców do rekomendowania tej formy finansowania. Co istotne, tegoroczna edycja badania została przeprowadzona na znacząco większej próbie – objęła 1328 przedsiębiorców, wobec 385 rok wcześniej – co dodatkowo wzmacnia wiarygodność uzyskanych wyników i potwierdza trwały charakter obserwowanego trendu.</w:t>
      </w:r>
    </w:p>
    <w:p w14:paraId="118D76E8" w14:textId="77777777" w:rsidR="00016221" w:rsidRPr="00016221" w:rsidRDefault="00016221" w:rsidP="00016221">
      <w:pPr>
        <w:spacing w:before="240" w:after="240" w:line="276" w:lineRule="auto"/>
        <w:jc w:val="both"/>
        <w:rPr>
          <w:rFonts w:ascii="Calibri" w:hAnsi="Calibri" w:cs="Calibri"/>
          <w:b/>
          <w:bCs/>
          <w:color w:val="0070C0"/>
          <w:sz w:val="20"/>
          <w:szCs w:val="20"/>
        </w:rPr>
      </w:pPr>
      <w:r w:rsidRPr="00016221">
        <w:rPr>
          <w:rFonts w:ascii="Calibri" w:hAnsi="Calibri" w:cs="Calibri"/>
          <w:b/>
          <w:bCs/>
          <w:color w:val="0070C0"/>
          <w:sz w:val="20"/>
          <w:szCs w:val="20"/>
        </w:rPr>
        <w:t>Wzrost satysfakcji klientów leasingu</w:t>
      </w:r>
    </w:p>
    <w:p w14:paraId="4DF244D6" w14:textId="0EA0F7C0" w:rsidR="00E00C86" w:rsidRDefault="00E00C86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00C86">
        <w:rPr>
          <w:rFonts w:ascii="Calibri" w:hAnsi="Calibri" w:cs="Calibri"/>
          <w:sz w:val="20"/>
          <w:szCs w:val="20"/>
        </w:rPr>
        <w:t xml:space="preserve">– </w:t>
      </w:r>
      <w:r w:rsidRPr="000A5834">
        <w:rPr>
          <w:rFonts w:ascii="Calibri" w:hAnsi="Calibri" w:cs="Calibri"/>
          <w:i/>
          <w:iCs/>
          <w:sz w:val="20"/>
          <w:szCs w:val="20"/>
        </w:rPr>
        <w:t>To historyczny wynik dla branży leasingowej w Polsce. Widzimy wyraźnie, że leasing nie tylko pozostaje jednym z podstawowych źródeł finansowania inwestycji firm, ale także buduje bardzo silne, pozytywne doświadczenie klienta</w:t>
      </w:r>
      <w:r w:rsidRPr="00E00C86">
        <w:rPr>
          <w:rFonts w:ascii="Calibri" w:hAnsi="Calibri" w:cs="Calibri"/>
          <w:sz w:val="20"/>
          <w:szCs w:val="20"/>
        </w:rPr>
        <w:t xml:space="preserve"> – podkreśla</w:t>
      </w:r>
      <w:r w:rsidR="000A5834">
        <w:rPr>
          <w:rFonts w:ascii="Calibri" w:hAnsi="Calibri" w:cs="Calibri"/>
          <w:sz w:val="20"/>
          <w:szCs w:val="20"/>
        </w:rPr>
        <w:t xml:space="preserve"> </w:t>
      </w:r>
      <w:r w:rsidR="000A5834" w:rsidRPr="000A5834">
        <w:rPr>
          <w:rFonts w:ascii="Calibri" w:hAnsi="Calibri" w:cs="Calibri"/>
          <w:b/>
          <w:bCs/>
          <w:sz w:val="20"/>
          <w:szCs w:val="20"/>
        </w:rPr>
        <w:t>Monika Constant</w:t>
      </w:r>
      <w:r w:rsidR="000A5834">
        <w:rPr>
          <w:rFonts w:ascii="Calibri" w:hAnsi="Calibri" w:cs="Calibri"/>
          <w:sz w:val="20"/>
          <w:szCs w:val="20"/>
        </w:rPr>
        <w:t>,</w:t>
      </w:r>
      <w:r w:rsidRPr="00E00C86">
        <w:rPr>
          <w:rFonts w:ascii="Calibri" w:hAnsi="Calibri" w:cs="Calibri"/>
          <w:sz w:val="20"/>
          <w:szCs w:val="20"/>
        </w:rPr>
        <w:t xml:space="preserve"> prezeska Związku Polskiego Leasingu.</w:t>
      </w:r>
    </w:p>
    <w:p w14:paraId="504D423D" w14:textId="33C7C383" w:rsidR="00C823F8" w:rsidRDefault="00973A18" w:rsidP="000254F1">
      <w:pPr>
        <w:spacing w:before="240" w:after="240" w:line="276" w:lineRule="auto"/>
        <w:jc w:val="both"/>
        <w:rPr>
          <w:rFonts w:ascii="Calibri" w:hAnsi="Calibri" w:cs="Calibri"/>
          <w:iCs/>
          <w:sz w:val="20"/>
          <w:szCs w:val="20"/>
        </w:rPr>
      </w:pPr>
      <w:r w:rsidRPr="00E86321">
        <w:rPr>
          <w:rFonts w:ascii="Calibri" w:hAnsi="Calibri" w:cs="Calibri"/>
          <w:iCs/>
          <w:sz w:val="20"/>
          <w:szCs w:val="20"/>
        </w:rPr>
        <w:t xml:space="preserve">- </w:t>
      </w:r>
      <w:r w:rsidR="00C90E77">
        <w:rPr>
          <w:rFonts w:ascii="Calibri" w:hAnsi="Calibri" w:cs="Calibri"/>
          <w:i/>
          <w:sz w:val="20"/>
          <w:szCs w:val="20"/>
        </w:rPr>
        <w:t>P</w:t>
      </w:r>
      <w:r w:rsidR="00C823F8" w:rsidRPr="00E86321">
        <w:rPr>
          <w:rFonts w:ascii="Calibri" w:hAnsi="Calibri" w:cs="Calibri"/>
          <w:i/>
          <w:sz w:val="20"/>
          <w:szCs w:val="20"/>
        </w:rPr>
        <w:t xml:space="preserve">rzedsiębiorcy coraz częściej aktywnie </w:t>
      </w:r>
      <w:r w:rsidR="00C90E77">
        <w:rPr>
          <w:rFonts w:ascii="Calibri" w:hAnsi="Calibri" w:cs="Calibri"/>
          <w:i/>
          <w:sz w:val="20"/>
          <w:szCs w:val="20"/>
        </w:rPr>
        <w:t>dzielą</w:t>
      </w:r>
      <w:r w:rsidR="00C823F8" w:rsidRPr="00E86321">
        <w:rPr>
          <w:rFonts w:ascii="Calibri" w:hAnsi="Calibri" w:cs="Calibri"/>
          <w:i/>
          <w:sz w:val="20"/>
          <w:szCs w:val="20"/>
        </w:rPr>
        <w:t xml:space="preserve"> się swoją opinią</w:t>
      </w:r>
      <w:r w:rsidR="00DB2316">
        <w:rPr>
          <w:rFonts w:ascii="Calibri" w:hAnsi="Calibri" w:cs="Calibri"/>
          <w:i/>
          <w:sz w:val="20"/>
          <w:szCs w:val="20"/>
        </w:rPr>
        <w:t xml:space="preserve"> w badaniach</w:t>
      </w:r>
      <w:r w:rsidR="00C823F8" w:rsidRPr="00E86321">
        <w:rPr>
          <w:rFonts w:ascii="Calibri" w:hAnsi="Calibri" w:cs="Calibri"/>
          <w:i/>
          <w:sz w:val="20"/>
          <w:szCs w:val="20"/>
        </w:rPr>
        <w:t xml:space="preserve"> dotycząc</w:t>
      </w:r>
      <w:r w:rsidR="00DB2316">
        <w:rPr>
          <w:rFonts w:ascii="Calibri" w:hAnsi="Calibri" w:cs="Calibri"/>
          <w:i/>
          <w:sz w:val="20"/>
          <w:szCs w:val="20"/>
        </w:rPr>
        <w:t>ych</w:t>
      </w:r>
      <w:r w:rsidR="00C823F8" w:rsidRPr="00E86321">
        <w:rPr>
          <w:rFonts w:ascii="Calibri" w:hAnsi="Calibri" w:cs="Calibri"/>
          <w:i/>
          <w:sz w:val="20"/>
          <w:szCs w:val="20"/>
        </w:rPr>
        <w:t xml:space="preserve"> ich satysfakcji i customer experience w procesie leasingowym. Dzięki temu nasza branża zyskuje dostęp do cennych informacji i konkretnych insightów, które pozwalają lepiej identyfikować co boli</w:t>
      </w:r>
      <w:r w:rsidR="00C90E77">
        <w:rPr>
          <w:rFonts w:ascii="Calibri" w:hAnsi="Calibri" w:cs="Calibri"/>
          <w:i/>
          <w:sz w:val="20"/>
          <w:szCs w:val="20"/>
        </w:rPr>
        <w:t>,</w:t>
      </w:r>
      <w:r w:rsidR="00C823F8" w:rsidRPr="00E86321">
        <w:rPr>
          <w:rFonts w:ascii="Calibri" w:hAnsi="Calibri" w:cs="Calibri"/>
          <w:i/>
          <w:sz w:val="20"/>
          <w:szCs w:val="20"/>
        </w:rPr>
        <w:t xml:space="preserve"> a co umacnia relację klient-leasingodawca. To właśnie głos klientów kształtuje kierunki rozwoju oferty oraz standardy obsługi, przekładając się bezpośrednio na poprawę ich doświadczeń</w:t>
      </w:r>
      <w:r w:rsidRPr="00E86321">
        <w:rPr>
          <w:rFonts w:ascii="Calibri" w:hAnsi="Calibri" w:cs="Calibri"/>
          <w:iCs/>
          <w:sz w:val="20"/>
          <w:szCs w:val="20"/>
        </w:rPr>
        <w:t xml:space="preserve"> – dodaje </w:t>
      </w:r>
      <w:r w:rsidRPr="00E86321">
        <w:rPr>
          <w:rFonts w:ascii="Calibri" w:hAnsi="Calibri" w:cs="Calibri"/>
          <w:b/>
          <w:bCs/>
          <w:iCs/>
          <w:sz w:val="20"/>
          <w:szCs w:val="20"/>
        </w:rPr>
        <w:t>Pa</w:t>
      </w:r>
      <w:r w:rsidR="006D4FBF" w:rsidRPr="00E86321">
        <w:rPr>
          <w:rFonts w:ascii="Calibri" w:hAnsi="Calibri" w:cs="Calibri"/>
          <w:b/>
          <w:bCs/>
          <w:iCs/>
          <w:sz w:val="20"/>
          <w:szCs w:val="20"/>
        </w:rPr>
        <w:t xml:space="preserve">ulina </w:t>
      </w:r>
      <w:r w:rsidR="00E86321" w:rsidRPr="00E86321">
        <w:rPr>
          <w:rFonts w:ascii="Calibri" w:hAnsi="Calibri" w:cs="Calibri"/>
          <w:b/>
          <w:bCs/>
          <w:iCs/>
          <w:sz w:val="20"/>
          <w:szCs w:val="20"/>
        </w:rPr>
        <w:t>Krzyształowicz-Bar</w:t>
      </w:r>
      <w:r w:rsidR="00E86321" w:rsidRPr="00E86321">
        <w:rPr>
          <w:rFonts w:ascii="Calibri" w:hAnsi="Calibri" w:cs="Calibri"/>
          <w:iCs/>
          <w:sz w:val="20"/>
          <w:szCs w:val="20"/>
        </w:rPr>
        <w:t>, Expert Innovation Designer, EFL.</w:t>
      </w:r>
    </w:p>
    <w:p w14:paraId="08B6B9F8" w14:textId="0CAEC280" w:rsidR="00C823F8" w:rsidRPr="00DF36A8" w:rsidRDefault="00DF36A8" w:rsidP="000254F1">
      <w:pPr>
        <w:spacing w:before="240" w:after="240" w:line="276" w:lineRule="auto"/>
        <w:jc w:val="both"/>
        <w:rPr>
          <w:rFonts w:ascii="Calibri" w:hAnsi="Calibri" w:cs="Calibri"/>
          <w:iCs/>
          <w:sz w:val="20"/>
          <w:szCs w:val="20"/>
        </w:rPr>
      </w:pPr>
      <w:r>
        <w:rPr>
          <w:rFonts w:ascii="Calibri" w:hAnsi="Calibri" w:cs="Calibri"/>
          <w:iCs/>
          <w:noProof/>
          <w:sz w:val="20"/>
          <w:szCs w:val="20"/>
        </w:rPr>
        <w:lastRenderedPageBreak/>
        <w:drawing>
          <wp:inline distT="0" distB="0" distL="0" distR="0" wp14:anchorId="48300B97" wp14:editId="31EA736A">
            <wp:extent cx="5759450" cy="3009265"/>
            <wp:effectExtent l="0" t="0" r="0" b="635"/>
            <wp:docPr id="167811562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115620" name="Obraz 167811562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30C0B" w14:textId="26898406" w:rsidR="00851093" w:rsidRPr="00851093" w:rsidRDefault="00851093" w:rsidP="000254F1">
      <w:pPr>
        <w:spacing w:before="240" w:after="240" w:line="276" w:lineRule="auto"/>
        <w:jc w:val="both"/>
        <w:rPr>
          <w:rFonts w:ascii="Calibri" w:hAnsi="Calibri" w:cs="Calibri"/>
          <w:color w:val="0070C0"/>
          <w:sz w:val="20"/>
          <w:szCs w:val="20"/>
        </w:rPr>
      </w:pPr>
      <w:r w:rsidRPr="00851093">
        <w:rPr>
          <w:rFonts w:ascii="Calibri" w:hAnsi="Calibri" w:cs="Calibri"/>
          <w:b/>
          <w:bCs/>
          <w:color w:val="0070C0"/>
          <w:sz w:val="20"/>
          <w:szCs w:val="20"/>
        </w:rPr>
        <w:t>Leasing bez realnej alternatywy dla wielu firm</w:t>
      </w:r>
    </w:p>
    <w:p w14:paraId="6247B1B6" w14:textId="01CAC20D" w:rsidR="00E00C86" w:rsidRPr="00E00C86" w:rsidRDefault="00E00C86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00C86">
        <w:rPr>
          <w:rFonts w:ascii="Calibri" w:hAnsi="Calibri" w:cs="Calibri"/>
          <w:sz w:val="20"/>
          <w:szCs w:val="20"/>
        </w:rPr>
        <w:t xml:space="preserve">Jednocześnie 78,3 proc. badanych deklaruje, że poleca leasing jako formę finansowania, a </w:t>
      </w:r>
      <w:r w:rsidR="000A5834">
        <w:rPr>
          <w:rFonts w:ascii="Calibri" w:hAnsi="Calibri" w:cs="Calibri"/>
          <w:sz w:val="20"/>
          <w:szCs w:val="20"/>
        </w:rPr>
        <w:t>prawie</w:t>
      </w:r>
      <w:r w:rsidRPr="00E00C86">
        <w:rPr>
          <w:rFonts w:ascii="Calibri" w:hAnsi="Calibri" w:cs="Calibri"/>
          <w:sz w:val="20"/>
          <w:szCs w:val="20"/>
        </w:rPr>
        <w:t xml:space="preserve"> połowa przedsiębiorców (48,1 proc.) nie rozważała alternatywnych rozwiązań przy podejmowaniu decyzji inwestycyjnej.</w:t>
      </w:r>
    </w:p>
    <w:p w14:paraId="050A706E" w14:textId="37ED750F" w:rsidR="000A5834" w:rsidRPr="00E00C86" w:rsidRDefault="00E00C86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00C86">
        <w:rPr>
          <w:rFonts w:ascii="Calibri" w:hAnsi="Calibri" w:cs="Calibri"/>
          <w:sz w:val="20"/>
          <w:szCs w:val="20"/>
        </w:rPr>
        <w:t xml:space="preserve">– </w:t>
      </w:r>
      <w:r w:rsidRPr="000A5834">
        <w:rPr>
          <w:rFonts w:ascii="Calibri" w:hAnsi="Calibri" w:cs="Calibri"/>
          <w:i/>
          <w:iCs/>
          <w:sz w:val="20"/>
          <w:szCs w:val="20"/>
        </w:rPr>
        <w:t>Fakt, że niemal co drugi przedsiębiorca nie rozważa alternatywy wobec leasingu, pokazuje skalę zaufania do tego instrumentu i jego dopasowanie do potrzeb biznesu</w:t>
      </w:r>
      <w:r w:rsidRPr="00E00C86">
        <w:rPr>
          <w:rFonts w:ascii="Calibri" w:hAnsi="Calibri" w:cs="Calibri"/>
          <w:sz w:val="20"/>
          <w:szCs w:val="20"/>
        </w:rPr>
        <w:t xml:space="preserve"> – dodaje prezeska ZPL.</w:t>
      </w:r>
    </w:p>
    <w:p w14:paraId="189CF368" w14:textId="5CBCA0B8" w:rsidR="00E00C86" w:rsidRDefault="00E00C86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00C86">
        <w:rPr>
          <w:rFonts w:ascii="Calibri" w:hAnsi="Calibri" w:cs="Calibri"/>
          <w:sz w:val="20"/>
          <w:szCs w:val="20"/>
        </w:rPr>
        <w:t>Jeśli firmy analizują inne opcje, leasing konkuruje przede wszystkim z najmem długoterminowym (23,7 proc.</w:t>
      </w:r>
      <w:r w:rsidR="00CF6CEC">
        <w:rPr>
          <w:rFonts w:ascii="Calibri" w:hAnsi="Calibri" w:cs="Calibri"/>
          <w:sz w:val="20"/>
          <w:szCs w:val="20"/>
        </w:rPr>
        <w:t xml:space="preserve"> badanych</w:t>
      </w:r>
      <w:r w:rsidRPr="00E00C86">
        <w:rPr>
          <w:rFonts w:ascii="Calibri" w:hAnsi="Calibri" w:cs="Calibri"/>
          <w:sz w:val="20"/>
          <w:szCs w:val="20"/>
        </w:rPr>
        <w:t xml:space="preserve">), finansowaniem z </w:t>
      </w:r>
      <w:r w:rsidR="000A5834">
        <w:rPr>
          <w:rFonts w:ascii="Calibri" w:hAnsi="Calibri" w:cs="Calibri"/>
          <w:sz w:val="20"/>
          <w:szCs w:val="20"/>
        </w:rPr>
        <w:t>pieniędzy</w:t>
      </w:r>
      <w:r w:rsidRPr="00E00C86">
        <w:rPr>
          <w:rFonts w:ascii="Calibri" w:hAnsi="Calibri" w:cs="Calibri"/>
          <w:sz w:val="20"/>
          <w:szCs w:val="20"/>
        </w:rPr>
        <w:t xml:space="preserve"> własnych (17,8 proc.) oraz kredytem bankowym (16,7 proc.).</w:t>
      </w:r>
    </w:p>
    <w:p w14:paraId="7023E6DE" w14:textId="77777777" w:rsidR="00E04E76" w:rsidRDefault="00E04E76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7FC70A4D" w14:textId="3B258C76" w:rsidR="00E04E76" w:rsidRDefault="006968D3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2A8A67A1" wp14:editId="475DD30B">
            <wp:extent cx="5759450" cy="4271645"/>
            <wp:effectExtent l="0" t="0" r="0" b="0"/>
            <wp:docPr id="83862971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629718" name="Obraz 83862971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27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E4F8E" w14:textId="07F76170" w:rsidR="00851093" w:rsidRPr="00851093" w:rsidRDefault="00851093" w:rsidP="000254F1">
      <w:pPr>
        <w:spacing w:before="240" w:after="240" w:line="276" w:lineRule="auto"/>
        <w:jc w:val="both"/>
        <w:rPr>
          <w:rFonts w:ascii="Calibri" w:hAnsi="Calibri" w:cs="Calibri"/>
          <w:color w:val="0070C0"/>
          <w:sz w:val="20"/>
          <w:szCs w:val="20"/>
        </w:rPr>
      </w:pPr>
      <w:r w:rsidRPr="00851093">
        <w:rPr>
          <w:rFonts w:ascii="Calibri" w:hAnsi="Calibri" w:cs="Calibri"/>
          <w:b/>
          <w:bCs/>
          <w:color w:val="0070C0"/>
          <w:sz w:val="20"/>
          <w:szCs w:val="20"/>
        </w:rPr>
        <w:t>Cena to nie wszystko – rośnie znaczenie doświadczenia klienta</w:t>
      </w:r>
    </w:p>
    <w:p w14:paraId="583292A7" w14:textId="049A9261" w:rsidR="00E00C86" w:rsidRPr="00E00C86" w:rsidRDefault="00E00C86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00C86">
        <w:rPr>
          <w:rFonts w:ascii="Calibri" w:hAnsi="Calibri" w:cs="Calibri"/>
          <w:sz w:val="20"/>
          <w:szCs w:val="20"/>
        </w:rPr>
        <w:t>Z badania wynika, że o wyborze konkretnej firmy leasingowej decyduje dziś kombinacja kilku czynników. Przedsiębiorcy najczęściej wskazują 2–3 kluczowe elementy, wśród których dominują warunki i parametry finansowe, ale równie istotne pozostają szybkość i prostota procesu, jakość komunikacji oraz zaufanie do marki.</w:t>
      </w:r>
    </w:p>
    <w:p w14:paraId="27310183" w14:textId="77777777" w:rsidR="00E00C86" w:rsidRDefault="00E00C86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00C86">
        <w:rPr>
          <w:rFonts w:ascii="Calibri" w:hAnsi="Calibri" w:cs="Calibri"/>
          <w:sz w:val="20"/>
          <w:szCs w:val="20"/>
        </w:rPr>
        <w:t xml:space="preserve">– </w:t>
      </w:r>
      <w:r w:rsidRPr="000A5834">
        <w:rPr>
          <w:rFonts w:ascii="Calibri" w:hAnsi="Calibri" w:cs="Calibri"/>
          <w:i/>
          <w:iCs/>
          <w:sz w:val="20"/>
          <w:szCs w:val="20"/>
        </w:rPr>
        <w:t>Dziś konkurencja w leasingu nie opiera się wyłącznie na cenie. Coraz większe znaczenie mają doświadczenia klienta – szybkość decyzji, prostota procesu i relacja z doradcą. To one w dużej mierze decydują o wyborze finansującego</w:t>
      </w:r>
      <w:r w:rsidRPr="00E00C86">
        <w:rPr>
          <w:rFonts w:ascii="Calibri" w:hAnsi="Calibri" w:cs="Calibri"/>
          <w:sz w:val="20"/>
          <w:szCs w:val="20"/>
        </w:rPr>
        <w:t xml:space="preserve"> – wskazuje prezeska ZPL.</w:t>
      </w:r>
    </w:p>
    <w:p w14:paraId="0F28484C" w14:textId="657858D4" w:rsidR="00C367CB" w:rsidRPr="00E00C86" w:rsidRDefault="00C367CB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54F4B978" wp14:editId="2309038F">
            <wp:extent cx="5759450" cy="5759450"/>
            <wp:effectExtent l="0" t="0" r="0" b="0"/>
            <wp:docPr id="3099784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97842" name="Obraz 3099784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75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65E6B" w14:textId="6C2E6FAF" w:rsidR="00403F80" w:rsidRPr="00403F80" w:rsidRDefault="00403F80" w:rsidP="000254F1">
      <w:pPr>
        <w:spacing w:before="240" w:after="240" w:line="276" w:lineRule="auto"/>
        <w:jc w:val="both"/>
        <w:rPr>
          <w:rFonts w:ascii="Calibri" w:hAnsi="Calibri" w:cs="Calibri"/>
          <w:color w:val="0070C0"/>
          <w:sz w:val="20"/>
          <w:szCs w:val="20"/>
        </w:rPr>
      </w:pPr>
      <w:r w:rsidRPr="00403F80">
        <w:rPr>
          <w:rFonts w:ascii="Calibri" w:hAnsi="Calibri" w:cs="Calibri"/>
          <w:b/>
          <w:bCs/>
          <w:color w:val="0070C0"/>
          <w:sz w:val="20"/>
          <w:szCs w:val="20"/>
        </w:rPr>
        <w:t>Proces leasingowy oceniany coraz lepiej</w:t>
      </w:r>
    </w:p>
    <w:p w14:paraId="1E13C733" w14:textId="5A1D1047" w:rsidR="00E00C86" w:rsidRPr="00E00C86" w:rsidRDefault="00E00C86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00C86">
        <w:rPr>
          <w:rFonts w:ascii="Calibri" w:hAnsi="Calibri" w:cs="Calibri"/>
          <w:sz w:val="20"/>
          <w:szCs w:val="20"/>
        </w:rPr>
        <w:t>Wysokie oceny znajdują odzwierciedlenie w doświadczeniu klientów. 79 proc. przedsiębiorców pozytywnie ocenia swój ostatni proces zawarcia umowy leasingu, podczas gdy 13 proc. pozostaje neutralnych, a jedynie 4 proc. ocenia go krytycznie.</w:t>
      </w:r>
      <w:r w:rsidR="003A07E3">
        <w:rPr>
          <w:rFonts w:ascii="Calibri" w:hAnsi="Calibri" w:cs="Calibri"/>
          <w:sz w:val="20"/>
          <w:szCs w:val="20"/>
        </w:rPr>
        <w:t xml:space="preserve"> </w:t>
      </w:r>
      <w:r w:rsidR="003A07E3" w:rsidRPr="003A07E3">
        <w:rPr>
          <w:rFonts w:ascii="Calibri" w:hAnsi="Calibri" w:cs="Calibri"/>
          <w:sz w:val="20"/>
          <w:szCs w:val="20"/>
        </w:rPr>
        <w:t xml:space="preserve">W porównaniu </w:t>
      </w:r>
      <w:r w:rsidR="003A07E3">
        <w:rPr>
          <w:rFonts w:ascii="Calibri" w:hAnsi="Calibri" w:cs="Calibri"/>
          <w:sz w:val="20"/>
          <w:szCs w:val="20"/>
        </w:rPr>
        <w:t>z</w:t>
      </w:r>
      <w:r w:rsidR="003A07E3" w:rsidRPr="003A07E3">
        <w:rPr>
          <w:rFonts w:ascii="Calibri" w:hAnsi="Calibri" w:cs="Calibri"/>
          <w:sz w:val="20"/>
          <w:szCs w:val="20"/>
        </w:rPr>
        <w:t xml:space="preserve"> wynik</w:t>
      </w:r>
      <w:r w:rsidR="003A07E3">
        <w:rPr>
          <w:rFonts w:ascii="Calibri" w:hAnsi="Calibri" w:cs="Calibri"/>
          <w:sz w:val="20"/>
          <w:szCs w:val="20"/>
        </w:rPr>
        <w:t>ami</w:t>
      </w:r>
      <w:r w:rsidR="003A07E3" w:rsidRPr="003A07E3">
        <w:rPr>
          <w:rFonts w:ascii="Calibri" w:hAnsi="Calibri" w:cs="Calibri"/>
          <w:sz w:val="20"/>
          <w:szCs w:val="20"/>
        </w:rPr>
        <w:t xml:space="preserve"> z 2025</w:t>
      </w:r>
      <w:r w:rsidR="003A07E3">
        <w:rPr>
          <w:rFonts w:ascii="Calibri" w:hAnsi="Calibri" w:cs="Calibri"/>
          <w:sz w:val="20"/>
          <w:szCs w:val="20"/>
        </w:rPr>
        <w:t xml:space="preserve"> roku</w:t>
      </w:r>
      <w:r w:rsidR="003A07E3" w:rsidRPr="003A07E3">
        <w:rPr>
          <w:rFonts w:ascii="Calibri" w:hAnsi="Calibri" w:cs="Calibri"/>
          <w:sz w:val="20"/>
          <w:szCs w:val="20"/>
        </w:rPr>
        <w:t xml:space="preserve"> ocena ostatniego procesu lepsza - wskaźnik NPS wzrósł znacznie z 59 w 2025 do 7</w:t>
      </w:r>
      <w:r w:rsidR="000736C7">
        <w:rPr>
          <w:rFonts w:ascii="Calibri" w:hAnsi="Calibri" w:cs="Calibri"/>
          <w:sz w:val="20"/>
          <w:szCs w:val="20"/>
        </w:rPr>
        <w:t>8,7</w:t>
      </w:r>
      <w:r w:rsidR="003A07E3" w:rsidRPr="003A07E3">
        <w:rPr>
          <w:rFonts w:ascii="Calibri" w:hAnsi="Calibri" w:cs="Calibri"/>
          <w:sz w:val="20"/>
          <w:szCs w:val="20"/>
        </w:rPr>
        <w:t xml:space="preserve"> w 2026 roku. Jest to różnica istotna statystycznie.</w:t>
      </w:r>
    </w:p>
    <w:p w14:paraId="77CDA360" w14:textId="77777777" w:rsidR="00E00C86" w:rsidRDefault="00E00C86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3A07E3">
        <w:rPr>
          <w:rFonts w:ascii="Calibri" w:hAnsi="Calibri" w:cs="Calibri"/>
          <w:sz w:val="20"/>
          <w:szCs w:val="20"/>
        </w:rPr>
        <w:t xml:space="preserve">– </w:t>
      </w:r>
      <w:r w:rsidRPr="003A07E3">
        <w:rPr>
          <w:rFonts w:ascii="Calibri" w:hAnsi="Calibri" w:cs="Calibri"/>
          <w:i/>
          <w:iCs/>
          <w:sz w:val="20"/>
          <w:szCs w:val="20"/>
        </w:rPr>
        <w:t>Tak wysoki poziom satysfakcji z procesu leasingowego pokazuje, że branża skutecznie odpowiada na oczekiwania firm – zarówno w zakresie oferty, jak i jakości obsługi</w:t>
      </w:r>
      <w:r w:rsidRPr="003A07E3">
        <w:rPr>
          <w:rFonts w:ascii="Calibri" w:hAnsi="Calibri" w:cs="Calibri"/>
          <w:sz w:val="20"/>
          <w:szCs w:val="20"/>
        </w:rPr>
        <w:t xml:space="preserve"> – komentuje prezeska ZPL.</w:t>
      </w:r>
    </w:p>
    <w:p w14:paraId="23E9C883" w14:textId="52ED182C" w:rsidR="00190158" w:rsidRPr="003A07E3" w:rsidRDefault="00DF36A8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60CC7930" wp14:editId="6E7CB292">
            <wp:extent cx="5759450" cy="3009265"/>
            <wp:effectExtent l="0" t="0" r="0" b="635"/>
            <wp:docPr id="178314838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148382" name="Obraz 178314838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B80F1" w14:textId="44ED7B56" w:rsidR="00403F80" w:rsidRPr="00403F80" w:rsidRDefault="00403F80" w:rsidP="00E20E95">
      <w:pPr>
        <w:spacing w:before="240" w:after="240" w:line="276" w:lineRule="auto"/>
        <w:jc w:val="both"/>
        <w:rPr>
          <w:rFonts w:ascii="Calibri" w:hAnsi="Calibri" w:cs="Calibri"/>
          <w:color w:val="0070C0"/>
          <w:sz w:val="20"/>
          <w:szCs w:val="20"/>
        </w:rPr>
      </w:pPr>
      <w:r w:rsidRPr="00403F80">
        <w:rPr>
          <w:rFonts w:ascii="Calibri" w:hAnsi="Calibri" w:cs="Calibri"/>
          <w:b/>
          <w:bCs/>
          <w:color w:val="0070C0"/>
          <w:sz w:val="20"/>
          <w:szCs w:val="20"/>
        </w:rPr>
        <w:t>Cyfryzacja przyspiesza w leasing</w:t>
      </w:r>
      <w:r>
        <w:rPr>
          <w:rFonts w:ascii="Calibri" w:hAnsi="Calibri" w:cs="Calibri"/>
          <w:b/>
          <w:bCs/>
          <w:color w:val="0070C0"/>
          <w:sz w:val="20"/>
          <w:szCs w:val="20"/>
        </w:rPr>
        <w:t>u</w:t>
      </w:r>
    </w:p>
    <w:p w14:paraId="6EBD9445" w14:textId="4C7F79AB" w:rsidR="00C24470" w:rsidRDefault="00C24470" w:rsidP="00E20E95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C24470">
        <w:rPr>
          <w:rFonts w:ascii="Calibri" w:hAnsi="Calibri" w:cs="Calibri"/>
          <w:sz w:val="20"/>
          <w:szCs w:val="20"/>
        </w:rPr>
        <w:t>Jednym z najbardziej widocznych trendów jest postępująca cyfryzacja branży. Udział umów podpisywanych elektronicznie wzrósł znacząco – z 39,5 proc. do 64,8 proc., co pokazuje rosnącą akceptację rozwiązań cyfrowych w procesie leasingowym. Można przypuszczać, że w dużej mierze dotyczy to segmentu leasingu pojazdów, gdzie procesy są najbardziej ustandaryzowane i podatne na digitalizację. Sprzyja temu również struktura klientów – dominują jednoosobowe działalności gospodarcze, co oznacza prostsze procesy decyzyjne, mniejszą liczbę osób zaangażowanych w podjęcie decyzji oraz większą skłonność do korzystania z szybkich, zautomatyzowanych rozwiązań.</w:t>
      </w:r>
    </w:p>
    <w:p w14:paraId="1C4F714A" w14:textId="2BC3B5CC" w:rsidR="000736C7" w:rsidRPr="00E20E95" w:rsidRDefault="00DF36A8" w:rsidP="00E20E95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79B0C2C0" wp14:editId="2EB5CFAF">
            <wp:extent cx="5759450" cy="3599815"/>
            <wp:effectExtent l="0" t="0" r="0" b="635"/>
            <wp:docPr id="151297427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974270" name="Obraz 151297427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530D9" w14:textId="212869F2" w:rsidR="00036FF1" w:rsidRPr="00CD1E1F" w:rsidRDefault="00036FF1" w:rsidP="000254F1">
      <w:pPr>
        <w:spacing w:before="240" w:after="240" w:line="276" w:lineRule="auto"/>
        <w:jc w:val="both"/>
        <w:rPr>
          <w:rFonts w:ascii="Calibri" w:hAnsi="Calibri" w:cs="Calibri"/>
          <w:color w:val="0070C0"/>
          <w:sz w:val="20"/>
          <w:szCs w:val="20"/>
        </w:rPr>
      </w:pPr>
      <w:r w:rsidRPr="00036FF1">
        <w:rPr>
          <w:rFonts w:ascii="Calibri" w:hAnsi="Calibri" w:cs="Calibri"/>
          <w:b/>
          <w:bCs/>
          <w:color w:val="0070C0"/>
          <w:sz w:val="20"/>
          <w:szCs w:val="20"/>
        </w:rPr>
        <w:t>Trend potwierdzony danymi z rynku</w:t>
      </w:r>
    </w:p>
    <w:p w14:paraId="39B6E5A8" w14:textId="42504C15" w:rsidR="00E20E95" w:rsidRPr="000837F0" w:rsidRDefault="00E20E95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20E95">
        <w:rPr>
          <w:rFonts w:ascii="Calibri" w:hAnsi="Calibri" w:cs="Calibri"/>
          <w:sz w:val="20"/>
          <w:szCs w:val="20"/>
        </w:rPr>
        <w:t xml:space="preserve">Jednocześnie inne badania </w:t>
      </w:r>
      <w:r w:rsidR="004634B5" w:rsidRPr="00E20E95">
        <w:rPr>
          <w:rFonts w:ascii="Calibri" w:hAnsi="Calibri" w:cs="Calibri"/>
          <w:sz w:val="20"/>
          <w:szCs w:val="20"/>
        </w:rPr>
        <w:t>przeprowadzone</w:t>
      </w:r>
      <w:r w:rsidR="004634B5">
        <w:rPr>
          <w:rFonts w:ascii="Calibri" w:hAnsi="Calibri" w:cs="Calibri"/>
          <w:sz w:val="20"/>
          <w:szCs w:val="20"/>
        </w:rPr>
        <w:t xml:space="preserve"> nie wśród klientów, a </w:t>
      </w:r>
      <w:r w:rsidRPr="00E20E95">
        <w:rPr>
          <w:rFonts w:ascii="Calibri" w:hAnsi="Calibri" w:cs="Calibri"/>
          <w:sz w:val="20"/>
          <w:szCs w:val="20"/>
        </w:rPr>
        <w:t xml:space="preserve">wśród firm leasingowych wskazują, że udział umów zawieranych w pełni cyfrowo również systematycznie rośnie – w </w:t>
      </w:r>
      <w:r w:rsidRPr="000837F0">
        <w:rPr>
          <w:rFonts w:ascii="Calibri" w:hAnsi="Calibri" w:cs="Calibri"/>
          <w:sz w:val="20"/>
          <w:szCs w:val="20"/>
        </w:rPr>
        <w:t>2025 r. wyniósł 39</w:t>
      </w:r>
      <w:r w:rsidR="004634B5" w:rsidRPr="000837F0">
        <w:rPr>
          <w:rFonts w:ascii="Calibri" w:hAnsi="Calibri" w:cs="Calibri"/>
          <w:sz w:val="20"/>
          <w:szCs w:val="20"/>
        </w:rPr>
        <w:t>,4</w:t>
      </w:r>
      <w:r w:rsidRPr="000837F0">
        <w:rPr>
          <w:rFonts w:ascii="Calibri" w:hAnsi="Calibri" w:cs="Calibri"/>
          <w:sz w:val="20"/>
          <w:szCs w:val="20"/>
        </w:rPr>
        <w:t xml:space="preserve"> proc., wobec 29</w:t>
      </w:r>
      <w:r w:rsidR="000837F0" w:rsidRPr="000837F0">
        <w:rPr>
          <w:rFonts w:ascii="Calibri" w:hAnsi="Calibri" w:cs="Calibri"/>
          <w:sz w:val="20"/>
          <w:szCs w:val="20"/>
        </w:rPr>
        <w:t xml:space="preserve">,6 </w:t>
      </w:r>
      <w:r w:rsidRPr="000837F0">
        <w:rPr>
          <w:rFonts w:ascii="Calibri" w:hAnsi="Calibri" w:cs="Calibri"/>
          <w:sz w:val="20"/>
          <w:szCs w:val="20"/>
        </w:rPr>
        <w:t>proc. rok wcześniej – co potwierdza kierunek transformacji całego sektora.</w:t>
      </w:r>
      <w:r w:rsidR="001F6824" w:rsidRPr="001F6824">
        <w:t xml:space="preserve"> </w:t>
      </w:r>
      <w:r w:rsidR="001F6824" w:rsidRPr="001F6824">
        <w:rPr>
          <w:rFonts w:ascii="Calibri" w:hAnsi="Calibri" w:cs="Calibri"/>
          <w:sz w:val="20"/>
          <w:szCs w:val="20"/>
        </w:rPr>
        <w:t>Dane te są spójne z obserwacją, że im mniejsza firma-klient, tym wyższy jest odsetek umów zawieranych elektronicznie, co wynika z prostszych procesów decyzyjnych i większej standaryzacji finansowania w segmencie najmniejszych przedsiębiorstw.</w:t>
      </w:r>
    </w:p>
    <w:p w14:paraId="00F9A1C0" w14:textId="0C4BBACC" w:rsidR="0043627D" w:rsidRPr="0043627D" w:rsidRDefault="00E00C86" w:rsidP="0043627D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00C86">
        <w:rPr>
          <w:rFonts w:ascii="Calibri" w:hAnsi="Calibri" w:cs="Calibri"/>
          <w:sz w:val="20"/>
          <w:szCs w:val="20"/>
        </w:rPr>
        <w:t xml:space="preserve">– </w:t>
      </w:r>
      <w:r w:rsidRPr="00E20E95">
        <w:rPr>
          <w:rFonts w:ascii="Calibri" w:hAnsi="Calibri" w:cs="Calibri"/>
          <w:i/>
          <w:iCs/>
          <w:sz w:val="20"/>
          <w:szCs w:val="20"/>
        </w:rPr>
        <w:t>Cyfryzacja wyraźnie przyspiesza, ale nie oznacza rezygnacji z relacji. Klienci chcą łączyć wygodę rozwiązań online z dostępem do doradcy, szczególnie przy bardziej złożonych decyzjach</w:t>
      </w:r>
      <w:r w:rsidRPr="00E00C86">
        <w:rPr>
          <w:rFonts w:ascii="Calibri" w:hAnsi="Calibri" w:cs="Calibri"/>
          <w:sz w:val="20"/>
          <w:szCs w:val="20"/>
        </w:rPr>
        <w:t xml:space="preserve"> – zaznacza </w:t>
      </w:r>
      <w:r w:rsidR="00E20E95" w:rsidRPr="00E20E95">
        <w:rPr>
          <w:rFonts w:ascii="Calibri" w:hAnsi="Calibri" w:cs="Calibri"/>
          <w:b/>
          <w:bCs/>
          <w:sz w:val="20"/>
          <w:szCs w:val="20"/>
        </w:rPr>
        <w:t>Monika Constant</w:t>
      </w:r>
      <w:r w:rsidRPr="00E00C86">
        <w:rPr>
          <w:rFonts w:ascii="Calibri" w:hAnsi="Calibri" w:cs="Calibri"/>
          <w:sz w:val="20"/>
          <w:szCs w:val="20"/>
        </w:rPr>
        <w:t>.</w:t>
      </w:r>
    </w:p>
    <w:p w14:paraId="03BEE0F3" w14:textId="77777777" w:rsidR="0043627D" w:rsidRPr="0043627D" w:rsidRDefault="0043627D" w:rsidP="0043627D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43627D">
        <w:rPr>
          <w:rFonts w:ascii="Calibri" w:hAnsi="Calibri" w:cs="Calibri"/>
          <w:sz w:val="20"/>
          <w:szCs w:val="20"/>
        </w:rPr>
        <w:t>Wyniki badania pokazują, że w dobie postępującej cyfryzacji i rozwoju rozwiązań opartych na AI kluczową wartością dla przedsiębiorców pozostaje kontakt z doradcą i jego wsparcie eksperckie. Automatyzacja znajduje zastosowanie przede wszystkim w prostych, powtarzalnych czynnościach, jednak w bardziej złożonych etapach procesu rośnie znaczenie relacji i indywidualnego podejścia. W efekcie rola doradcy ewoluuje – z osoby obsługującej proces w kierunku partnera biznesowego i konsultanta wspierającego klienta w podejmowaniu decyzji finansowych.</w:t>
      </w:r>
    </w:p>
    <w:p w14:paraId="19C44855" w14:textId="7CD06FA1" w:rsidR="0043627D" w:rsidRPr="00E00C86" w:rsidRDefault="0043627D" w:rsidP="00E20E95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43627D">
        <w:rPr>
          <w:rFonts w:ascii="Calibri" w:hAnsi="Calibri" w:cs="Calibri"/>
          <w:sz w:val="20"/>
          <w:szCs w:val="20"/>
        </w:rPr>
        <w:t>Przedsiębiorcy najczęściej preferują tradycyjne formy komunikacji – bezpośredni kontakt z doradcą (60,9 proc.), e-mail (58,4 proc.) oraz telefon (53,8 proc.), zdecydowanie rzadziej wybierając rozwiązania samoobsługowe czy kanały cyfrowe oparte na automatyzacji.</w:t>
      </w:r>
    </w:p>
    <w:p w14:paraId="5D986EF7" w14:textId="2837B28E" w:rsidR="00E20E95" w:rsidRDefault="00E20E95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E20E95">
        <w:rPr>
          <w:rFonts w:ascii="Calibri" w:hAnsi="Calibri" w:cs="Calibri"/>
          <w:i/>
          <w:iCs/>
          <w:sz w:val="20"/>
          <w:szCs w:val="20"/>
        </w:rPr>
        <w:lastRenderedPageBreak/>
        <w:t>– To bardzo ważny sygnał dla rynku – technologia powinna wspierać, a nie zastępować relację z klientem. Model hybrydowy, łączący cyfryzację z doradztwem, będzie</w:t>
      </w:r>
      <w:r>
        <w:rPr>
          <w:rFonts w:ascii="Calibri" w:hAnsi="Calibri" w:cs="Calibri"/>
          <w:i/>
          <w:iCs/>
          <w:sz w:val="20"/>
          <w:szCs w:val="20"/>
        </w:rPr>
        <w:t xml:space="preserve"> wciąż</w:t>
      </w:r>
      <w:r w:rsidRPr="00E20E95">
        <w:rPr>
          <w:rFonts w:ascii="Calibri" w:hAnsi="Calibri" w:cs="Calibri"/>
          <w:i/>
          <w:iCs/>
          <w:sz w:val="20"/>
          <w:szCs w:val="20"/>
        </w:rPr>
        <w:t xml:space="preserve"> kluczowy dla dalszego rozwoju branży leasingowej</w:t>
      </w:r>
      <w:r w:rsidRPr="00E00C86">
        <w:rPr>
          <w:rFonts w:ascii="Calibri" w:hAnsi="Calibri" w:cs="Calibri"/>
          <w:sz w:val="20"/>
          <w:szCs w:val="20"/>
        </w:rPr>
        <w:t xml:space="preserve"> – podsumowuje prezeska ZPL.</w:t>
      </w:r>
    </w:p>
    <w:p w14:paraId="769FE6F0" w14:textId="055F160B" w:rsidR="00F219D0" w:rsidRPr="00E00C86" w:rsidRDefault="00DF36A8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7F138C03" wp14:editId="7DFD49FD">
            <wp:extent cx="5759450" cy="6335395"/>
            <wp:effectExtent l="0" t="0" r="0" b="8255"/>
            <wp:docPr id="140564095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640956" name="Obraz 140564095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33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3552B" w14:textId="77777777" w:rsidR="00A97E0C" w:rsidRPr="00A97E0C" w:rsidRDefault="00A97E0C" w:rsidP="00A97E0C">
      <w:pPr>
        <w:spacing w:before="240" w:after="240" w:line="276" w:lineRule="auto"/>
        <w:jc w:val="both"/>
        <w:rPr>
          <w:rFonts w:ascii="Calibri" w:hAnsi="Calibri" w:cs="Calibri"/>
          <w:color w:val="0070C0"/>
          <w:sz w:val="20"/>
          <w:szCs w:val="20"/>
        </w:rPr>
      </w:pPr>
      <w:r w:rsidRPr="00A97E0C">
        <w:rPr>
          <w:rFonts w:ascii="Calibri" w:hAnsi="Calibri" w:cs="Calibri"/>
          <w:b/>
          <w:bCs/>
          <w:color w:val="0070C0"/>
          <w:sz w:val="20"/>
          <w:szCs w:val="20"/>
        </w:rPr>
        <w:t>Technologia tak, ale z doradcą w centrum</w:t>
      </w:r>
    </w:p>
    <w:p w14:paraId="68EAF499" w14:textId="77777777" w:rsidR="00A97E0C" w:rsidRDefault="00A97E0C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4ADDA381" w14:textId="56ED4E8A" w:rsidR="00E00C86" w:rsidRPr="003F0B38" w:rsidRDefault="005D0E9F" w:rsidP="000254F1">
      <w:pPr>
        <w:spacing w:before="240" w:after="240" w:line="276" w:lineRule="auto"/>
        <w:jc w:val="both"/>
        <w:rPr>
          <w:rFonts w:ascii="Calibri" w:hAnsi="Calibri" w:cs="Calibri"/>
          <w:color w:val="FF0000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 xml:space="preserve">Jednocześnie </w:t>
      </w:r>
      <w:r w:rsidRPr="00F63E5D">
        <w:rPr>
          <w:rFonts w:ascii="Calibri" w:hAnsi="Calibri" w:cs="Calibri"/>
          <w:sz w:val="20"/>
          <w:szCs w:val="20"/>
        </w:rPr>
        <w:t>a</w:t>
      </w:r>
      <w:r w:rsidR="003F0B38" w:rsidRPr="00F63E5D">
        <w:rPr>
          <w:rFonts w:ascii="Calibri" w:hAnsi="Calibri" w:cs="Calibri"/>
          <w:sz w:val="20"/>
          <w:szCs w:val="20"/>
        </w:rPr>
        <w:t xml:space="preserve">nkietowani </w:t>
      </w:r>
      <w:r w:rsidR="00E00C86" w:rsidRPr="00E00C86">
        <w:rPr>
          <w:rFonts w:ascii="Calibri" w:hAnsi="Calibri" w:cs="Calibri"/>
          <w:sz w:val="20"/>
          <w:szCs w:val="20"/>
        </w:rPr>
        <w:t>przedsiębiorcy pozostają podzieleni w ocenie automatyzacji. 51,6 proc. badanych dopuszcza wykorzystanie automatyzacji lub AI przynajmniej na jednym etapie procesu leasingowego, natomiast 49,4 proc. nie akceptuje takich rozwiązań w żadnym jego elemencie.</w:t>
      </w:r>
      <w:r w:rsidR="003F0B38" w:rsidRPr="003F0B38">
        <w:t xml:space="preserve"> </w:t>
      </w:r>
    </w:p>
    <w:p w14:paraId="698197CA" w14:textId="2C367BCC" w:rsidR="009C78EB" w:rsidRPr="009C78EB" w:rsidRDefault="009C78EB" w:rsidP="009C78EB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- </w:t>
      </w:r>
      <w:r w:rsidRPr="009C78EB">
        <w:rPr>
          <w:rFonts w:ascii="Calibri" w:hAnsi="Calibri" w:cs="Calibri"/>
          <w:i/>
          <w:iCs/>
          <w:sz w:val="20"/>
          <w:szCs w:val="20"/>
        </w:rPr>
        <w:t>Niewątpliwie rynek leasingowy przechodzi transformację, w której technologia i relacje z klientem będą się wzajemnie uzupełniać. Oznacza to potrzebę równoważenia rozwiązań cyfrowych – takich jak szybka weryfikacja zdolności leasingowej, automatyczne generowanie dokumentów czy podpis elektroniczny – z rolą doradcy i jego osobistym wsparciem na kluczowych etapach procesu</w:t>
      </w:r>
      <w:r>
        <w:rPr>
          <w:rFonts w:ascii="Calibri" w:hAnsi="Calibri" w:cs="Calibri"/>
          <w:sz w:val="20"/>
          <w:szCs w:val="20"/>
        </w:rPr>
        <w:t xml:space="preserve"> – mówi </w:t>
      </w:r>
      <w:r w:rsidR="00EE2927" w:rsidRPr="00750D11">
        <w:rPr>
          <w:rFonts w:ascii="Calibri" w:hAnsi="Calibri" w:cs="Calibri"/>
          <w:b/>
          <w:bCs/>
          <w:sz w:val="20"/>
          <w:szCs w:val="20"/>
        </w:rPr>
        <w:t>Sylwia Kaczmarek</w:t>
      </w:r>
      <w:r w:rsidR="00EE2927">
        <w:rPr>
          <w:rFonts w:ascii="Calibri" w:hAnsi="Calibri" w:cs="Calibri"/>
          <w:sz w:val="20"/>
          <w:szCs w:val="20"/>
        </w:rPr>
        <w:t>, d</w:t>
      </w:r>
      <w:r w:rsidR="00EE2927" w:rsidRPr="00EE2927">
        <w:rPr>
          <w:rFonts w:ascii="Calibri" w:hAnsi="Calibri" w:cs="Calibri"/>
          <w:sz w:val="20"/>
          <w:szCs w:val="20"/>
        </w:rPr>
        <w:t xml:space="preserve">yrektor ds. </w:t>
      </w:r>
      <w:r w:rsidR="00EE2927">
        <w:rPr>
          <w:rFonts w:ascii="Calibri" w:hAnsi="Calibri" w:cs="Calibri"/>
          <w:sz w:val="20"/>
          <w:szCs w:val="20"/>
        </w:rPr>
        <w:t>r</w:t>
      </w:r>
      <w:r w:rsidR="00EE2927" w:rsidRPr="00EE2927">
        <w:rPr>
          <w:rFonts w:ascii="Calibri" w:hAnsi="Calibri" w:cs="Calibri"/>
          <w:sz w:val="20"/>
          <w:szCs w:val="20"/>
        </w:rPr>
        <w:t xml:space="preserve">elacji z </w:t>
      </w:r>
      <w:r w:rsidR="00EE2927">
        <w:rPr>
          <w:rFonts w:ascii="Calibri" w:hAnsi="Calibri" w:cs="Calibri"/>
          <w:sz w:val="20"/>
          <w:szCs w:val="20"/>
        </w:rPr>
        <w:t>k</w:t>
      </w:r>
      <w:r w:rsidR="00EE2927" w:rsidRPr="00EE2927">
        <w:rPr>
          <w:rFonts w:ascii="Calibri" w:hAnsi="Calibri" w:cs="Calibri"/>
          <w:sz w:val="20"/>
          <w:szCs w:val="20"/>
        </w:rPr>
        <w:t xml:space="preserve">lientami i </w:t>
      </w:r>
      <w:r w:rsidR="00EE2927">
        <w:rPr>
          <w:rFonts w:ascii="Calibri" w:hAnsi="Calibri" w:cs="Calibri"/>
          <w:sz w:val="20"/>
          <w:szCs w:val="20"/>
        </w:rPr>
        <w:t>r</w:t>
      </w:r>
      <w:r w:rsidR="00EE2927" w:rsidRPr="00EE2927">
        <w:rPr>
          <w:rFonts w:ascii="Calibri" w:hAnsi="Calibri" w:cs="Calibri"/>
          <w:sz w:val="20"/>
          <w:szCs w:val="20"/>
        </w:rPr>
        <w:t xml:space="preserve">ozwiązań </w:t>
      </w:r>
      <w:r w:rsidR="00EE2927">
        <w:rPr>
          <w:rFonts w:ascii="Calibri" w:hAnsi="Calibri" w:cs="Calibri"/>
          <w:sz w:val="20"/>
          <w:szCs w:val="20"/>
        </w:rPr>
        <w:t>b</w:t>
      </w:r>
      <w:r w:rsidR="00EE2927" w:rsidRPr="00EE2927">
        <w:rPr>
          <w:rFonts w:ascii="Calibri" w:hAnsi="Calibri" w:cs="Calibri"/>
          <w:sz w:val="20"/>
          <w:szCs w:val="20"/>
        </w:rPr>
        <w:t>iznesowych</w:t>
      </w:r>
      <w:r w:rsidR="00EE2927">
        <w:rPr>
          <w:rFonts w:ascii="Calibri" w:hAnsi="Calibri" w:cs="Calibri"/>
          <w:sz w:val="20"/>
          <w:szCs w:val="20"/>
        </w:rPr>
        <w:t xml:space="preserve"> w </w:t>
      </w:r>
      <w:r w:rsidR="00396A6D">
        <w:rPr>
          <w:rFonts w:ascii="Calibri" w:hAnsi="Calibri" w:cs="Calibri"/>
          <w:sz w:val="20"/>
          <w:szCs w:val="20"/>
        </w:rPr>
        <w:t>grenke</w:t>
      </w:r>
      <w:r w:rsidR="00EE2927" w:rsidRPr="00EE2927">
        <w:rPr>
          <w:rFonts w:ascii="Calibri" w:hAnsi="Calibri" w:cs="Calibri"/>
          <w:sz w:val="20"/>
          <w:szCs w:val="20"/>
        </w:rPr>
        <w:t>LEASING</w:t>
      </w:r>
      <w:r w:rsidR="00EE2927">
        <w:rPr>
          <w:rFonts w:ascii="Calibri" w:hAnsi="Calibri" w:cs="Calibri"/>
          <w:sz w:val="20"/>
          <w:szCs w:val="20"/>
        </w:rPr>
        <w:t>.</w:t>
      </w:r>
    </w:p>
    <w:p w14:paraId="75FF0566" w14:textId="634328A4" w:rsidR="00A24ECD" w:rsidRDefault="00A24ECD" w:rsidP="000254F1">
      <w:pPr>
        <w:spacing w:before="240" w:after="240" w:line="276" w:lineRule="auto"/>
        <w:jc w:val="both"/>
        <w:rPr>
          <w:rFonts w:ascii="Calibri" w:hAnsi="Calibri" w:cs="Calibri"/>
          <w:b/>
          <w:bCs/>
          <w:iCs/>
          <w:sz w:val="20"/>
          <w:szCs w:val="20"/>
        </w:rPr>
      </w:pPr>
      <w:r w:rsidRPr="00A24ECD">
        <w:rPr>
          <w:rFonts w:ascii="Calibri" w:hAnsi="Calibri" w:cs="Calibri"/>
          <w:iCs/>
          <w:sz w:val="20"/>
          <w:szCs w:val="20"/>
        </w:rPr>
        <w:t xml:space="preserve">- </w:t>
      </w:r>
      <w:r w:rsidRPr="00A24ECD">
        <w:rPr>
          <w:rFonts w:ascii="Calibri" w:hAnsi="Calibri" w:cs="Calibri"/>
          <w:i/>
          <w:sz w:val="20"/>
          <w:szCs w:val="20"/>
        </w:rPr>
        <w:t>Wyniki badania wpisują się w szersze trendy technologiczne i społeczne – digitalizacja wyraźnie przyspiesza, ale nie eliminuje potrzeby budowania relacji opartych na zaufaniu i wsparciu. Przyszłość leasingu będzie należeć do modelu hybrydowego, łączącego nowoczesne rozwiązania cyfrowe automatyzujące proste czynności z bezpośrednim wsparciem ekspertów firm leasingowych</w:t>
      </w:r>
      <w:r w:rsidRPr="00A24ECD">
        <w:rPr>
          <w:rFonts w:ascii="Calibri" w:hAnsi="Calibri" w:cs="Calibri"/>
          <w:iCs/>
          <w:sz w:val="20"/>
          <w:szCs w:val="20"/>
        </w:rPr>
        <w:t xml:space="preserve"> – dodaje</w:t>
      </w:r>
      <w:r>
        <w:rPr>
          <w:rFonts w:ascii="Calibri" w:hAnsi="Calibri" w:cs="Calibri"/>
          <w:b/>
          <w:bCs/>
          <w:iCs/>
          <w:sz w:val="20"/>
          <w:szCs w:val="20"/>
        </w:rPr>
        <w:t xml:space="preserve"> </w:t>
      </w:r>
      <w:r w:rsidRPr="00E86321">
        <w:rPr>
          <w:rFonts w:ascii="Calibri" w:hAnsi="Calibri" w:cs="Calibri"/>
          <w:b/>
          <w:bCs/>
          <w:iCs/>
          <w:sz w:val="20"/>
          <w:szCs w:val="20"/>
        </w:rPr>
        <w:t>Paulina Krzyształowicz-Bar</w:t>
      </w:r>
      <w:r>
        <w:rPr>
          <w:rFonts w:ascii="Calibri" w:hAnsi="Calibri" w:cs="Calibri"/>
          <w:b/>
          <w:bCs/>
          <w:iCs/>
          <w:sz w:val="20"/>
          <w:szCs w:val="20"/>
        </w:rPr>
        <w:t>.</w:t>
      </w:r>
    </w:p>
    <w:p w14:paraId="07D691C7" w14:textId="26D01A80" w:rsidR="00722DDB" w:rsidRPr="00DF36A8" w:rsidRDefault="00DF36A8" w:rsidP="000254F1">
      <w:pPr>
        <w:spacing w:before="240" w:after="240" w:line="276" w:lineRule="auto"/>
        <w:jc w:val="both"/>
        <w:rPr>
          <w:rFonts w:ascii="Calibri" w:hAnsi="Calibri" w:cs="Calibri"/>
          <w:iCs/>
          <w:sz w:val="20"/>
          <w:szCs w:val="20"/>
        </w:rPr>
      </w:pPr>
      <w:r>
        <w:rPr>
          <w:rFonts w:ascii="Calibri" w:hAnsi="Calibri" w:cs="Calibri"/>
          <w:iCs/>
          <w:noProof/>
          <w:sz w:val="20"/>
          <w:szCs w:val="20"/>
        </w:rPr>
        <w:drawing>
          <wp:inline distT="0" distB="0" distL="0" distR="0" wp14:anchorId="0ECF3FD8" wp14:editId="0D1496E1">
            <wp:extent cx="5759450" cy="4271645"/>
            <wp:effectExtent l="0" t="0" r="0" b="0"/>
            <wp:docPr id="1181608950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608950" name="Obraz 118160895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27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D84E1" w14:textId="77777777" w:rsidR="00290453" w:rsidRPr="00290453" w:rsidRDefault="003A187C" w:rsidP="000254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pict w14:anchorId="19CA963A">
          <v:rect id="_x0000_i1025" style="width:0;height:1.5pt" o:hrstd="t" o:hr="t" fillcolor="#a0a0a0" stroked="f"/>
        </w:pict>
      </w:r>
    </w:p>
    <w:p w14:paraId="552F89FF" w14:textId="77777777" w:rsidR="00290453" w:rsidRPr="00290453" w:rsidRDefault="00290453" w:rsidP="000254F1">
      <w:pPr>
        <w:spacing w:before="240" w:after="240" w:line="276" w:lineRule="auto"/>
        <w:jc w:val="both"/>
        <w:rPr>
          <w:rFonts w:ascii="Calibri" w:hAnsi="Calibri" w:cs="Calibri"/>
          <w:b/>
          <w:bCs/>
          <w:i/>
          <w:iCs/>
          <w:sz w:val="20"/>
          <w:szCs w:val="20"/>
        </w:rPr>
      </w:pPr>
      <w:r w:rsidRPr="00290453">
        <w:rPr>
          <w:rFonts w:ascii="Calibri" w:hAnsi="Calibri" w:cs="Calibri"/>
          <w:b/>
          <w:bCs/>
          <w:i/>
          <w:iCs/>
          <w:sz w:val="20"/>
          <w:szCs w:val="20"/>
        </w:rPr>
        <w:t>O badaniu</w:t>
      </w:r>
    </w:p>
    <w:p w14:paraId="37A919F1" w14:textId="020A5516" w:rsidR="0049687E" w:rsidRPr="0049687E" w:rsidRDefault="0049687E" w:rsidP="000254F1">
      <w:pPr>
        <w:spacing w:before="240" w:after="240"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  <w:r w:rsidRPr="0049687E">
        <w:rPr>
          <w:rFonts w:ascii="Calibri" w:hAnsi="Calibri" w:cs="Calibri"/>
          <w:i/>
          <w:iCs/>
          <w:sz w:val="20"/>
          <w:szCs w:val="20"/>
        </w:rPr>
        <w:lastRenderedPageBreak/>
        <w:t>Badanie „Opinie przedsiębiorców na temat leasingu w Polsce” zostało przeprowadzone</w:t>
      </w:r>
      <w:r w:rsidRPr="00A06310">
        <w:rPr>
          <w:rFonts w:ascii="Calibri" w:hAnsi="Calibri" w:cs="Calibri"/>
          <w:i/>
          <w:iCs/>
          <w:sz w:val="20"/>
          <w:szCs w:val="20"/>
        </w:rPr>
        <w:t xml:space="preserve"> na zlecenie ZPL</w:t>
      </w:r>
      <w:r w:rsidRPr="0049687E">
        <w:rPr>
          <w:rFonts w:ascii="Calibri" w:hAnsi="Calibri" w:cs="Calibri"/>
          <w:i/>
          <w:iCs/>
          <w:sz w:val="20"/>
          <w:szCs w:val="20"/>
        </w:rPr>
        <w:t xml:space="preserve"> w dniach 2–24 marca 2026 r. metodą ankiety internetowej CAWI na próbie 1328 przedsiębiorstw z całej Polski. Dla porównania, w edycji 2025 udział wzięło 385 firm.</w:t>
      </w:r>
    </w:p>
    <w:p w14:paraId="6D550B6A" w14:textId="58F0FA5E" w:rsidR="0049687E" w:rsidRPr="0049687E" w:rsidRDefault="0049687E" w:rsidP="000254F1">
      <w:pPr>
        <w:spacing w:before="240" w:after="240"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  <w:r w:rsidRPr="0049687E">
        <w:rPr>
          <w:rFonts w:ascii="Calibri" w:hAnsi="Calibri" w:cs="Calibri"/>
          <w:i/>
          <w:iCs/>
          <w:sz w:val="20"/>
          <w:szCs w:val="20"/>
        </w:rPr>
        <w:t xml:space="preserve">W strukturze badanej próby dominowały mikroprzedsiębiorstwa. Pod względem formy prawnej 77 proc. stanowiły jednoosobowe działalności gospodarcze. 83,5 proc. </w:t>
      </w:r>
      <w:r w:rsidR="00C7173E">
        <w:rPr>
          <w:rFonts w:ascii="Calibri" w:hAnsi="Calibri" w:cs="Calibri"/>
          <w:i/>
          <w:iCs/>
          <w:sz w:val="20"/>
          <w:szCs w:val="20"/>
        </w:rPr>
        <w:t>respondentów</w:t>
      </w:r>
      <w:r w:rsidRPr="0049687E">
        <w:rPr>
          <w:rFonts w:ascii="Calibri" w:hAnsi="Calibri" w:cs="Calibri"/>
          <w:i/>
          <w:iCs/>
          <w:sz w:val="20"/>
          <w:szCs w:val="20"/>
        </w:rPr>
        <w:t xml:space="preserve"> zatrudniało od 1 do 5 pracowników.</w:t>
      </w:r>
    </w:p>
    <w:p w14:paraId="72A3CBAE" w14:textId="4307ACB9" w:rsidR="0049687E" w:rsidRPr="0049687E" w:rsidRDefault="0049687E" w:rsidP="000254F1">
      <w:pPr>
        <w:spacing w:before="240" w:after="240"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  <w:r w:rsidRPr="0049687E">
        <w:rPr>
          <w:rFonts w:ascii="Calibri" w:hAnsi="Calibri" w:cs="Calibri"/>
          <w:i/>
          <w:iCs/>
          <w:sz w:val="20"/>
          <w:szCs w:val="20"/>
        </w:rPr>
        <w:t xml:space="preserve">Jednocześnie 74,1 proc. </w:t>
      </w:r>
      <w:r w:rsidR="000254F1">
        <w:rPr>
          <w:rFonts w:ascii="Calibri" w:hAnsi="Calibri" w:cs="Calibri"/>
          <w:i/>
          <w:iCs/>
          <w:sz w:val="20"/>
          <w:szCs w:val="20"/>
        </w:rPr>
        <w:t>odpowiadających przedsiębiorców</w:t>
      </w:r>
      <w:r w:rsidRPr="0049687E">
        <w:rPr>
          <w:rFonts w:ascii="Calibri" w:hAnsi="Calibri" w:cs="Calibri"/>
          <w:i/>
          <w:iCs/>
          <w:sz w:val="20"/>
          <w:szCs w:val="20"/>
        </w:rPr>
        <w:t xml:space="preserve"> zadeklarowało zawarcie </w:t>
      </w:r>
      <w:r w:rsidR="00BF7ABD">
        <w:rPr>
          <w:rFonts w:ascii="Calibri" w:hAnsi="Calibri" w:cs="Calibri"/>
          <w:i/>
          <w:iCs/>
          <w:sz w:val="20"/>
          <w:szCs w:val="20"/>
        </w:rPr>
        <w:t xml:space="preserve">przynajmniej jednej </w:t>
      </w:r>
      <w:r w:rsidRPr="0049687E">
        <w:rPr>
          <w:rFonts w:ascii="Calibri" w:hAnsi="Calibri" w:cs="Calibri"/>
          <w:i/>
          <w:iCs/>
          <w:sz w:val="20"/>
          <w:szCs w:val="20"/>
        </w:rPr>
        <w:t>umowy leasingu w ciągu ostatnich 12 miesięcy.</w:t>
      </w:r>
    </w:p>
    <w:p w14:paraId="7712F1C0" w14:textId="3FE015EA" w:rsidR="004503EC" w:rsidRPr="000469D6" w:rsidRDefault="003A187C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pict w14:anchorId="0BF1F3E5">
          <v:rect id="_x0000_i1026" style="width:0;height:1.5pt" o:hralign="center" o:hrstd="t" o:hr="t" fillcolor="#a0a0a0" stroked="f"/>
        </w:pict>
      </w:r>
    </w:p>
    <w:p w14:paraId="40E5B297" w14:textId="77777777" w:rsidR="008B319C" w:rsidRPr="00B10084" w:rsidRDefault="008B319C" w:rsidP="00D62DD6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709C81FC" w14:textId="131E033F" w:rsidR="004F7B4A" w:rsidRDefault="004F7B4A" w:rsidP="00D62DD6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2F365E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organizacja reprezentująca branżę leasingową w Polsce. Związek zrzesza 36 podmiotów obejmujące ponad 90% sektora: 35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jest aktywnym członkiem </w:t>
      </w:r>
      <w:r w:rsidR="00E76917" w:rsidRPr="000254F1">
        <w:rPr>
          <w:rFonts w:cstheme="minorHAnsi"/>
          <w:sz w:val="16"/>
          <w:szCs w:val="16"/>
          <w:shd w:val="clear" w:color="auto" w:fill="FFFFFF"/>
        </w:rPr>
        <w:t>Leaseurope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 – europejskiej federacji organizacji branży leasingowej i wynajmu pojazdów, zrzeszającej 45 stowarzyszeń z 32 krajów Europy.</w:t>
      </w:r>
      <w:r w:rsidR="00E76917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W 2024 roku ZPL obchodził 30-lecie istnienia. W ciągu trzech dekad firmy leasingowe przeznaczyły ponad 1 bln zł na inwestycje przedsiębiorstw działających w Polsce. </w:t>
      </w:r>
    </w:p>
    <w:p w14:paraId="143F7770" w14:textId="77777777" w:rsidR="008B319C" w:rsidRPr="00B10084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Default="008B319C" w:rsidP="00D62DD6">
      <w:pPr>
        <w:spacing w:line="276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7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3E52F8E" w14:textId="3ED99F8F" w:rsidR="005E6FF1" w:rsidRDefault="003A187C" w:rsidP="00D62DD6">
      <w:pPr>
        <w:spacing w:line="276" w:lineRule="auto"/>
        <w:jc w:val="both"/>
      </w:pPr>
      <w:r>
        <w:rPr>
          <w:rFonts w:cstheme="minorHAnsi"/>
          <w:b/>
          <w:bCs/>
          <w:color w:val="0070C0"/>
          <w:sz w:val="32"/>
          <w:szCs w:val="32"/>
        </w:rPr>
        <w:pict w14:anchorId="6A5E4DC0">
          <v:rect id="_x0000_i1027" style="width:0;height:1.5pt" o:hralign="center" o:hrstd="t" o:hr="t" fillcolor="#a0a0a0" stroked="f"/>
        </w:pict>
      </w:r>
    </w:p>
    <w:p w14:paraId="0FF5DEC6" w14:textId="77777777" w:rsidR="008B319C" w:rsidRPr="00B10084" w:rsidRDefault="008B319C" w:rsidP="005E6FF1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6700255" w14:textId="77777777" w:rsidR="008B319C" w:rsidRPr="00B10084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2165DC1" w14:textId="77777777" w:rsidR="008B319C" w:rsidRPr="00FE1A5E" w:rsidRDefault="008B319C" w:rsidP="00D62DD6">
      <w:pPr>
        <w:spacing w:line="276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FE1A5E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3F0B38" w:rsidRDefault="008B319C" w:rsidP="00D62DD6">
      <w:pPr>
        <w:spacing w:line="276" w:lineRule="auto"/>
        <w:jc w:val="both"/>
        <w:rPr>
          <w:rFonts w:cstheme="minorHAnsi"/>
          <w:sz w:val="18"/>
          <w:szCs w:val="18"/>
          <w:lang w:val="pt-BR"/>
        </w:rPr>
      </w:pPr>
      <w:r w:rsidRPr="003F0B38">
        <w:rPr>
          <w:rFonts w:cstheme="minorHAnsi"/>
          <w:sz w:val="18"/>
          <w:szCs w:val="18"/>
          <w:lang w:val="pt-BR"/>
        </w:rPr>
        <w:t xml:space="preserve">e-mail: katarzyna.ostrowska@leasing.org.pl </w:t>
      </w:r>
    </w:p>
    <w:p w14:paraId="73589F1E" w14:textId="77777777" w:rsidR="008B319C" w:rsidRPr="003F0B38" w:rsidRDefault="008B319C" w:rsidP="00D62DD6">
      <w:pPr>
        <w:spacing w:line="276" w:lineRule="auto"/>
        <w:jc w:val="both"/>
        <w:rPr>
          <w:rFonts w:cstheme="minorHAnsi"/>
          <w:sz w:val="18"/>
          <w:szCs w:val="18"/>
          <w:lang w:val="pt-BR"/>
        </w:rPr>
      </w:pPr>
      <w:r w:rsidRPr="003F0B38">
        <w:rPr>
          <w:rFonts w:cstheme="minorHAnsi"/>
          <w:sz w:val="18"/>
          <w:szCs w:val="18"/>
          <w:lang w:val="pt-BR"/>
        </w:rPr>
        <w:t>tel.: (+48) 697 770 498</w:t>
      </w:r>
    </w:p>
    <w:p w14:paraId="29DD4912" w14:textId="77777777" w:rsidR="008B319C" w:rsidRPr="003F0B38" w:rsidRDefault="008B319C" w:rsidP="00D62DD6">
      <w:pPr>
        <w:spacing w:line="276" w:lineRule="auto"/>
        <w:jc w:val="both"/>
        <w:rPr>
          <w:rFonts w:cstheme="minorHAnsi"/>
          <w:sz w:val="20"/>
          <w:szCs w:val="20"/>
          <w:lang w:val="pt-BR"/>
        </w:rPr>
      </w:pPr>
    </w:p>
    <w:p w14:paraId="29490517" w14:textId="6A003B30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Śledź nas na</w:t>
      </w:r>
      <w:r w:rsidR="00FE1A5E">
        <w:rPr>
          <w:rFonts w:cstheme="minorHAnsi"/>
          <w:sz w:val="18"/>
          <w:szCs w:val="18"/>
        </w:rPr>
        <w:t>:</w:t>
      </w:r>
      <w:r w:rsidRPr="00FE1A5E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B10084" w:rsidRDefault="008B319C" w:rsidP="00D62DD6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8"/>
                    </pic:cNvPr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20"/>
                    </pic:cNvPr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4F4588" w:rsidRDefault="008B319C" w:rsidP="00D62DD6">
      <w:pPr>
        <w:jc w:val="both"/>
      </w:pPr>
    </w:p>
    <w:sectPr w:rsidR="008B319C" w:rsidRPr="004F4588" w:rsidSect="00684E74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29F27" w14:textId="77777777" w:rsidR="003A187C" w:rsidRDefault="003A187C" w:rsidP="00C64445">
      <w:r>
        <w:separator/>
      </w:r>
    </w:p>
  </w:endnote>
  <w:endnote w:type="continuationSeparator" w:id="0">
    <w:p w14:paraId="54A590BF" w14:textId="77777777" w:rsidR="003A187C" w:rsidRDefault="003A187C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9433B" w14:textId="77777777" w:rsidR="0027525F" w:rsidRDefault="002752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88081" w14:textId="77777777" w:rsidR="0027525F" w:rsidRDefault="002752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0F807" w14:textId="77777777" w:rsidR="003A187C" w:rsidRDefault="003A187C" w:rsidP="00C64445">
      <w:r>
        <w:separator/>
      </w:r>
    </w:p>
  </w:footnote>
  <w:footnote w:type="continuationSeparator" w:id="0">
    <w:p w14:paraId="782E48C4" w14:textId="77777777" w:rsidR="003A187C" w:rsidRDefault="003A187C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A175D" w14:textId="77777777" w:rsidR="0027525F" w:rsidRDefault="002752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81B2B" w14:textId="77777777" w:rsidR="0027525F" w:rsidRDefault="00275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55241"/>
    <w:multiLevelType w:val="multilevel"/>
    <w:tmpl w:val="BAD8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7C3DCE"/>
    <w:multiLevelType w:val="multilevel"/>
    <w:tmpl w:val="900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65460"/>
    <w:multiLevelType w:val="multilevel"/>
    <w:tmpl w:val="58E0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C406B"/>
    <w:multiLevelType w:val="hybridMultilevel"/>
    <w:tmpl w:val="26CCC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10DC8"/>
    <w:multiLevelType w:val="hybridMultilevel"/>
    <w:tmpl w:val="D226A2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7714"/>
    <w:multiLevelType w:val="multilevel"/>
    <w:tmpl w:val="FE7C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D6769F"/>
    <w:multiLevelType w:val="hybridMultilevel"/>
    <w:tmpl w:val="03BC8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15ABB"/>
    <w:multiLevelType w:val="hybridMultilevel"/>
    <w:tmpl w:val="03AC4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2D4BBA"/>
    <w:multiLevelType w:val="multilevel"/>
    <w:tmpl w:val="ACF4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6404B2"/>
    <w:multiLevelType w:val="multilevel"/>
    <w:tmpl w:val="8B0A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5D646F"/>
    <w:multiLevelType w:val="multilevel"/>
    <w:tmpl w:val="68EC8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D1283F"/>
    <w:multiLevelType w:val="multilevel"/>
    <w:tmpl w:val="8080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830785"/>
    <w:multiLevelType w:val="hybridMultilevel"/>
    <w:tmpl w:val="765C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653615">
    <w:abstractNumId w:val="2"/>
  </w:num>
  <w:num w:numId="2" w16cid:durableId="17190854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4514841">
    <w:abstractNumId w:val="29"/>
  </w:num>
  <w:num w:numId="4" w16cid:durableId="1746105490">
    <w:abstractNumId w:val="32"/>
  </w:num>
  <w:num w:numId="5" w16cid:durableId="317076335">
    <w:abstractNumId w:val="3"/>
  </w:num>
  <w:num w:numId="6" w16cid:durableId="566066266">
    <w:abstractNumId w:val="13"/>
  </w:num>
  <w:num w:numId="7" w16cid:durableId="1511968">
    <w:abstractNumId w:val="27"/>
  </w:num>
  <w:num w:numId="8" w16cid:durableId="1667325766">
    <w:abstractNumId w:val="11"/>
  </w:num>
  <w:num w:numId="9" w16cid:durableId="1305739344">
    <w:abstractNumId w:val="1"/>
  </w:num>
  <w:num w:numId="10" w16cid:durableId="749279332">
    <w:abstractNumId w:val="8"/>
  </w:num>
  <w:num w:numId="11" w16cid:durableId="169876456">
    <w:abstractNumId w:val="18"/>
  </w:num>
  <w:num w:numId="12" w16cid:durableId="1466311792">
    <w:abstractNumId w:val="4"/>
  </w:num>
  <w:num w:numId="13" w16cid:durableId="1026909651">
    <w:abstractNumId w:val="30"/>
  </w:num>
  <w:num w:numId="14" w16cid:durableId="950821441">
    <w:abstractNumId w:val="26"/>
  </w:num>
  <w:num w:numId="15" w16cid:durableId="531573113">
    <w:abstractNumId w:val="28"/>
  </w:num>
  <w:num w:numId="16" w16cid:durableId="1395854597">
    <w:abstractNumId w:val="5"/>
  </w:num>
  <w:num w:numId="17" w16cid:durableId="200284936">
    <w:abstractNumId w:val="24"/>
  </w:num>
  <w:num w:numId="18" w16cid:durableId="678853888">
    <w:abstractNumId w:val="15"/>
  </w:num>
  <w:num w:numId="19" w16cid:durableId="1618950869">
    <w:abstractNumId w:val="23"/>
  </w:num>
  <w:num w:numId="20" w16cid:durableId="1884247088">
    <w:abstractNumId w:val="10"/>
  </w:num>
  <w:num w:numId="21" w16cid:durableId="1611545665">
    <w:abstractNumId w:val="14"/>
  </w:num>
  <w:num w:numId="22" w16cid:durableId="1839887517">
    <w:abstractNumId w:val="17"/>
  </w:num>
  <w:num w:numId="23" w16cid:durableId="2094886026">
    <w:abstractNumId w:val="0"/>
  </w:num>
  <w:num w:numId="24" w16cid:durableId="657851088">
    <w:abstractNumId w:val="16"/>
  </w:num>
  <w:num w:numId="25" w16cid:durableId="1664812963">
    <w:abstractNumId w:val="31"/>
  </w:num>
  <w:num w:numId="26" w16cid:durableId="1185944536">
    <w:abstractNumId w:val="33"/>
  </w:num>
  <w:num w:numId="27" w16cid:durableId="1123697966">
    <w:abstractNumId w:val="7"/>
  </w:num>
  <w:num w:numId="28" w16cid:durableId="1094591736">
    <w:abstractNumId w:val="19"/>
  </w:num>
  <w:num w:numId="29" w16cid:durableId="1275095908">
    <w:abstractNumId w:val="22"/>
  </w:num>
  <w:num w:numId="30" w16cid:durableId="1507674450">
    <w:abstractNumId w:val="6"/>
  </w:num>
  <w:num w:numId="31" w16cid:durableId="709692463">
    <w:abstractNumId w:val="21"/>
  </w:num>
  <w:num w:numId="32" w16cid:durableId="1029112149">
    <w:abstractNumId w:val="20"/>
  </w:num>
  <w:num w:numId="33" w16cid:durableId="442044036">
    <w:abstractNumId w:val="12"/>
  </w:num>
  <w:num w:numId="34" w16cid:durableId="755632595">
    <w:abstractNumId w:val="25"/>
  </w:num>
  <w:num w:numId="35" w16cid:durableId="2239493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19FB"/>
    <w:rsid w:val="00016221"/>
    <w:rsid w:val="0001765A"/>
    <w:rsid w:val="0002000A"/>
    <w:rsid w:val="000230B3"/>
    <w:rsid w:val="0002341D"/>
    <w:rsid w:val="000254F1"/>
    <w:rsid w:val="00026258"/>
    <w:rsid w:val="00026267"/>
    <w:rsid w:val="000270DE"/>
    <w:rsid w:val="000279C9"/>
    <w:rsid w:val="00030CBE"/>
    <w:rsid w:val="00036FF1"/>
    <w:rsid w:val="000378A7"/>
    <w:rsid w:val="00040A75"/>
    <w:rsid w:val="000426F8"/>
    <w:rsid w:val="00043408"/>
    <w:rsid w:val="00045B7F"/>
    <w:rsid w:val="000469D6"/>
    <w:rsid w:val="0005239B"/>
    <w:rsid w:val="00054B09"/>
    <w:rsid w:val="00060AAA"/>
    <w:rsid w:val="00062F1F"/>
    <w:rsid w:val="00070A65"/>
    <w:rsid w:val="00070BD0"/>
    <w:rsid w:val="0007320F"/>
    <w:rsid w:val="000736C7"/>
    <w:rsid w:val="00074185"/>
    <w:rsid w:val="00075D79"/>
    <w:rsid w:val="00080F9A"/>
    <w:rsid w:val="000837F0"/>
    <w:rsid w:val="00085624"/>
    <w:rsid w:val="0008695F"/>
    <w:rsid w:val="00087C5A"/>
    <w:rsid w:val="00091456"/>
    <w:rsid w:val="00092484"/>
    <w:rsid w:val="00096CA6"/>
    <w:rsid w:val="000A145A"/>
    <w:rsid w:val="000A5834"/>
    <w:rsid w:val="000B2597"/>
    <w:rsid w:val="000B25F9"/>
    <w:rsid w:val="000B42C8"/>
    <w:rsid w:val="000B5BB8"/>
    <w:rsid w:val="000C1967"/>
    <w:rsid w:val="000C430A"/>
    <w:rsid w:val="000C60C8"/>
    <w:rsid w:val="000D295A"/>
    <w:rsid w:val="000D734F"/>
    <w:rsid w:val="000E3F2C"/>
    <w:rsid w:val="000E4EC0"/>
    <w:rsid w:val="000E5778"/>
    <w:rsid w:val="000F0265"/>
    <w:rsid w:val="000F1E11"/>
    <w:rsid w:val="00103CEB"/>
    <w:rsid w:val="00104425"/>
    <w:rsid w:val="001054ED"/>
    <w:rsid w:val="001056CC"/>
    <w:rsid w:val="0011042D"/>
    <w:rsid w:val="00110600"/>
    <w:rsid w:val="00111056"/>
    <w:rsid w:val="001150F9"/>
    <w:rsid w:val="00116B72"/>
    <w:rsid w:val="00122775"/>
    <w:rsid w:val="001230CD"/>
    <w:rsid w:val="00124778"/>
    <w:rsid w:val="001253A1"/>
    <w:rsid w:val="00127BEE"/>
    <w:rsid w:val="00131D75"/>
    <w:rsid w:val="00133576"/>
    <w:rsid w:val="001416AC"/>
    <w:rsid w:val="00141CAA"/>
    <w:rsid w:val="0014353F"/>
    <w:rsid w:val="00144EE1"/>
    <w:rsid w:val="0014511E"/>
    <w:rsid w:val="001452BD"/>
    <w:rsid w:val="00145459"/>
    <w:rsid w:val="00152DE2"/>
    <w:rsid w:val="0015561F"/>
    <w:rsid w:val="00155F5D"/>
    <w:rsid w:val="00157180"/>
    <w:rsid w:val="001652B8"/>
    <w:rsid w:val="001657AB"/>
    <w:rsid w:val="0016778E"/>
    <w:rsid w:val="00173204"/>
    <w:rsid w:val="00173D00"/>
    <w:rsid w:val="001810B5"/>
    <w:rsid w:val="0018129A"/>
    <w:rsid w:val="00182F71"/>
    <w:rsid w:val="00184F8B"/>
    <w:rsid w:val="00190158"/>
    <w:rsid w:val="00192A39"/>
    <w:rsid w:val="00195C3B"/>
    <w:rsid w:val="00196147"/>
    <w:rsid w:val="001A06B9"/>
    <w:rsid w:val="001A4918"/>
    <w:rsid w:val="001A5150"/>
    <w:rsid w:val="001A6855"/>
    <w:rsid w:val="001A7D3A"/>
    <w:rsid w:val="001B0556"/>
    <w:rsid w:val="001B1BD1"/>
    <w:rsid w:val="001B37C5"/>
    <w:rsid w:val="001C02E9"/>
    <w:rsid w:val="001C2893"/>
    <w:rsid w:val="001C58A6"/>
    <w:rsid w:val="001D18E0"/>
    <w:rsid w:val="001D26CA"/>
    <w:rsid w:val="001D432B"/>
    <w:rsid w:val="001D46CD"/>
    <w:rsid w:val="001D58F4"/>
    <w:rsid w:val="001D6F0C"/>
    <w:rsid w:val="001F1650"/>
    <w:rsid w:val="001F250F"/>
    <w:rsid w:val="001F2866"/>
    <w:rsid w:val="001F41AE"/>
    <w:rsid w:val="001F505B"/>
    <w:rsid w:val="001F57AC"/>
    <w:rsid w:val="001F6824"/>
    <w:rsid w:val="001F7E64"/>
    <w:rsid w:val="002056E9"/>
    <w:rsid w:val="00212802"/>
    <w:rsid w:val="00214B24"/>
    <w:rsid w:val="00221364"/>
    <w:rsid w:val="0022388D"/>
    <w:rsid w:val="0022460D"/>
    <w:rsid w:val="002267A3"/>
    <w:rsid w:val="00232A86"/>
    <w:rsid w:val="00234973"/>
    <w:rsid w:val="00234F1D"/>
    <w:rsid w:val="00240195"/>
    <w:rsid w:val="00244973"/>
    <w:rsid w:val="00246C6F"/>
    <w:rsid w:val="0025147D"/>
    <w:rsid w:val="00251977"/>
    <w:rsid w:val="00254A49"/>
    <w:rsid w:val="002555B6"/>
    <w:rsid w:val="00257990"/>
    <w:rsid w:val="0026034E"/>
    <w:rsid w:val="0026188F"/>
    <w:rsid w:val="002663A2"/>
    <w:rsid w:val="0026795E"/>
    <w:rsid w:val="002733C7"/>
    <w:rsid w:val="00274958"/>
    <w:rsid w:val="0027525F"/>
    <w:rsid w:val="0027542A"/>
    <w:rsid w:val="00277A38"/>
    <w:rsid w:val="002850D6"/>
    <w:rsid w:val="00290453"/>
    <w:rsid w:val="00292949"/>
    <w:rsid w:val="00292C1B"/>
    <w:rsid w:val="002951E3"/>
    <w:rsid w:val="00295E2E"/>
    <w:rsid w:val="00297079"/>
    <w:rsid w:val="002A12B0"/>
    <w:rsid w:val="002A13CB"/>
    <w:rsid w:val="002A359B"/>
    <w:rsid w:val="002A4F17"/>
    <w:rsid w:val="002B6EFC"/>
    <w:rsid w:val="002C2302"/>
    <w:rsid w:val="002C5C7C"/>
    <w:rsid w:val="002C7453"/>
    <w:rsid w:val="002D134A"/>
    <w:rsid w:val="002D1D18"/>
    <w:rsid w:val="002D5E88"/>
    <w:rsid w:val="002D6FAD"/>
    <w:rsid w:val="002E0CDC"/>
    <w:rsid w:val="002E3500"/>
    <w:rsid w:val="002E460E"/>
    <w:rsid w:val="002E5331"/>
    <w:rsid w:val="002F1271"/>
    <w:rsid w:val="002F15BD"/>
    <w:rsid w:val="002F5B77"/>
    <w:rsid w:val="002F5D61"/>
    <w:rsid w:val="0030270E"/>
    <w:rsid w:val="00302FCE"/>
    <w:rsid w:val="003120D4"/>
    <w:rsid w:val="00312863"/>
    <w:rsid w:val="003133C9"/>
    <w:rsid w:val="00314258"/>
    <w:rsid w:val="00315F53"/>
    <w:rsid w:val="003214C3"/>
    <w:rsid w:val="00323759"/>
    <w:rsid w:val="00323ED1"/>
    <w:rsid w:val="00324735"/>
    <w:rsid w:val="0032528B"/>
    <w:rsid w:val="003266DF"/>
    <w:rsid w:val="003277ED"/>
    <w:rsid w:val="00331675"/>
    <w:rsid w:val="00333A1E"/>
    <w:rsid w:val="00333D22"/>
    <w:rsid w:val="00333E20"/>
    <w:rsid w:val="00344DAC"/>
    <w:rsid w:val="00346494"/>
    <w:rsid w:val="00351CD6"/>
    <w:rsid w:val="0035563D"/>
    <w:rsid w:val="00361E8C"/>
    <w:rsid w:val="0037098F"/>
    <w:rsid w:val="003724FA"/>
    <w:rsid w:val="00373609"/>
    <w:rsid w:val="00375A9C"/>
    <w:rsid w:val="00382534"/>
    <w:rsid w:val="00382C8A"/>
    <w:rsid w:val="00385164"/>
    <w:rsid w:val="003866DC"/>
    <w:rsid w:val="00391B3D"/>
    <w:rsid w:val="003921F7"/>
    <w:rsid w:val="00394118"/>
    <w:rsid w:val="003949C9"/>
    <w:rsid w:val="00396A6D"/>
    <w:rsid w:val="003A07E3"/>
    <w:rsid w:val="003A187C"/>
    <w:rsid w:val="003A388C"/>
    <w:rsid w:val="003A40AA"/>
    <w:rsid w:val="003B3761"/>
    <w:rsid w:val="003B3915"/>
    <w:rsid w:val="003B4004"/>
    <w:rsid w:val="003C1EEB"/>
    <w:rsid w:val="003C3AAE"/>
    <w:rsid w:val="003D27B8"/>
    <w:rsid w:val="003D38C0"/>
    <w:rsid w:val="003D5772"/>
    <w:rsid w:val="003D6437"/>
    <w:rsid w:val="003D712E"/>
    <w:rsid w:val="003D7E75"/>
    <w:rsid w:val="003D7EBE"/>
    <w:rsid w:val="003E27D4"/>
    <w:rsid w:val="003E6DA1"/>
    <w:rsid w:val="003E6FCE"/>
    <w:rsid w:val="003F0B38"/>
    <w:rsid w:val="003F104E"/>
    <w:rsid w:val="003F19FE"/>
    <w:rsid w:val="003F330C"/>
    <w:rsid w:val="003F578D"/>
    <w:rsid w:val="003F76C1"/>
    <w:rsid w:val="004010E2"/>
    <w:rsid w:val="004011FD"/>
    <w:rsid w:val="0040246D"/>
    <w:rsid w:val="00403F80"/>
    <w:rsid w:val="00406D43"/>
    <w:rsid w:val="0040767D"/>
    <w:rsid w:val="0041741F"/>
    <w:rsid w:val="00424AF5"/>
    <w:rsid w:val="00425870"/>
    <w:rsid w:val="004264AB"/>
    <w:rsid w:val="00430485"/>
    <w:rsid w:val="004354F3"/>
    <w:rsid w:val="0043627D"/>
    <w:rsid w:val="00436812"/>
    <w:rsid w:val="00442B70"/>
    <w:rsid w:val="004470BC"/>
    <w:rsid w:val="004503EC"/>
    <w:rsid w:val="00450DF3"/>
    <w:rsid w:val="00451821"/>
    <w:rsid w:val="00451868"/>
    <w:rsid w:val="00454F26"/>
    <w:rsid w:val="00461B13"/>
    <w:rsid w:val="004634B5"/>
    <w:rsid w:val="0046442C"/>
    <w:rsid w:val="00466719"/>
    <w:rsid w:val="004729B0"/>
    <w:rsid w:val="004744E0"/>
    <w:rsid w:val="00475945"/>
    <w:rsid w:val="00475D70"/>
    <w:rsid w:val="0048231F"/>
    <w:rsid w:val="004839F4"/>
    <w:rsid w:val="004846DD"/>
    <w:rsid w:val="00484F1D"/>
    <w:rsid w:val="00485DF4"/>
    <w:rsid w:val="004868F0"/>
    <w:rsid w:val="00486FEE"/>
    <w:rsid w:val="0049687E"/>
    <w:rsid w:val="004A7C2A"/>
    <w:rsid w:val="004B438B"/>
    <w:rsid w:val="004B4417"/>
    <w:rsid w:val="004C0587"/>
    <w:rsid w:val="004C51EE"/>
    <w:rsid w:val="004C744E"/>
    <w:rsid w:val="004C776E"/>
    <w:rsid w:val="004D0ADF"/>
    <w:rsid w:val="004D1ABE"/>
    <w:rsid w:val="004D3680"/>
    <w:rsid w:val="004E22B6"/>
    <w:rsid w:val="004E3ADB"/>
    <w:rsid w:val="004E55E8"/>
    <w:rsid w:val="004E5A8F"/>
    <w:rsid w:val="004E63EB"/>
    <w:rsid w:val="004F420F"/>
    <w:rsid w:val="004F4588"/>
    <w:rsid w:val="004F6CF3"/>
    <w:rsid w:val="004F70C9"/>
    <w:rsid w:val="004F7B4A"/>
    <w:rsid w:val="00507647"/>
    <w:rsid w:val="00510ACB"/>
    <w:rsid w:val="00515D0B"/>
    <w:rsid w:val="00520C4B"/>
    <w:rsid w:val="00524FFA"/>
    <w:rsid w:val="00525BA2"/>
    <w:rsid w:val="005360E6"/>
    <w:rsid w:val="005400DC"/>
    <w:rsid w:val="0054107B"/>
    <w:rsid w:val="005434CC"/>
    <w:rsid w:val="0054694C"/>
    <w:rsid w:val="00547D16"/>
    <w:rsid w:val="0055022C"/>
    <w:rsid w:val="005549D9"/>
    <w:rsid w:val="00556701"/>
    <w:rsid w:val="00556E29"/>
    <w:rsid w:val="00557BA7"/>
    <w:rsid w:val="00560F08"/>
    <w:rsid w:val="0056247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67D6"/>
    <w:rsid w:val="005A7684"/>
    <w:rsid w:val="005B1906"/>
    <w:rsid w:val="005B3A4A"/>
    <w:rsid w:val="005B647C"/>
    <w:rsid w:val="005B7DCB"/>
    <w:rsid w:val="005C00AE"/>
    <w:rsid w:val="005C0744"/>
    <w:rsid w:val="005C1291"/>
    <w:rsid w:val="005C5088"/>
    <w:rsid w:val="005C52F9"/>
    <w:rsid w:val="005D0E9F"/>
    <w:rsid w:val="005D1494"/>
    <w:rsid w:val="005D1DED"/>
    <w:rsid w:val="005D242C"/>
    <w:rsid w:val="005D3DBC"/>
    <w:rsid w:val="005D419C"/>
    <w:rsid w:val="005D41C2"/>
    <w:rsid w:val="005D552A"/>
    <w:rsid w:val="005D79D1"/>
    <w:rsid w:val="005E4120"/>
    <w:rsid w:val="005E4DB0"/>
    <w:rsid w:val="005E6FF1"/>
    <w:rsid w:val="005F075A"/>
    <w:rsid w:val="005F2E6D"/>
    <w:rsid w:val="005F3FD4"/>
    <w:rsid w:val="005F7BAE"/>
    <w:rsid w:val="0061396D"/>
    <w:rsid w:val="0061555F"/>
    <w:rsid w:val="006175AB"/>
    <w:rsid w:val="00623464"/>
    <w:rsid w:val="00625AD9"/>
    <w:rsid w:val="00630097"/>
    <w:rsid w:val="0063277D"/>
    <w:rsid w:val="00632958"/>
    <w:rsid w:val="00635BE4"/>
    <w:rsid w:val="006411C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3377"/>
    <w:rsid w:val="0065662B"/>
    <w:rsid w:val="006607CA"/>
    <w:rsid w:val="00660B1F"/>
    <w:rsid w:val="00663131"/>
    <w:rsid w:val="00664F20"/>
    <w:rsid w:val="0066677E"/>
    <w:rsid w:val="00673CAB"/>
    <w:rsid w:val="00673F17"/>
    <w:rsid w:val="00674C1C"/>
    <w:rsid w:val="00676325"/>
    <w:rsid w:val="00680A06"/>
    <w:rsid w:val="006827B9"/>
    <w:rsid w:val="00683456"/>
    <w:rsid w:val="00683AC5"/>
    <w:rsid w:val="00684E74"/>
    <w:rsid w:val="00690163"/>
    <w:rsid w:val="00692578"/>
    <w:rsid w:val="00693171"/>
    <w:rsid w:val="0069433B"/>
    <w:rsid w:val="006968D3"/>
    <w:rsid w:val="00696F03"/>
    <w:rsid w:val="006A7540"/>
    <w:rsid w:val="006B0A1B"/>
    <w:rsid w:val="006B1A20"/>
    <w:rsid w:val="006B2D5D"/>
    <w:rsid w:val="006B3997"/>
    <w:rsid w:val="006B573C"/>
    <w:rsid w:val="006B5C05"/>
    <w:rsid w:val="006C2AF0"/>
    <w:rsid w:val="006C3E97"/>
    <w:rsid w:val="006C4C6E"/>
    <w:rsid w:val="006C632C"/>
    <w:rsid w:val="006D4FBF"/>
    <w:rsid w:val="006D5D71"/>
    <w:rsid w:val="006E24D2"/>
    <w:rsid w:val="006E5616"/>
    <w:rsid w:val="006E5EF6"/>
    <w:rsid w:val="006F522D"/>
    <w:rsid w:val="006F52A2"/>
    <w:rsid w:val="006F7161"/>
    <w:rsid w:val="00704512"/>
    <w:rsid w:val="007164E4"/>
    <w:rsid w:val="00716743"/>
    <w:rsid w:val="00720711"/>
    <w:rsid w:val="00721283"/>
    <w:rsid w:val="00721B74"/>
    <w:rsid w:val="00722DDB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0D11"/>
    <w:rsid w:val="00753273"/>
    <w:rsid w:val="007532C5"/>
    <w:rsid w:val="0075581C"/>
    <w:rsid w:val="007577C9"/>
    <w:rsid w:val="00760162"/>
    <w:rsid w:val="00761E68"/>
    <w:rsid w:val="0076210A"/>
    <w:rsid w:val="007622B3"/>
    <w:rsid w:val="00764481"/>
    <w:rsid w:val="007662EA"/>
    <w:rsid w:val="00766A50"/>
    <w:rsid w:val="007709F9"/>
    <w:rsid w:val="00771C57"/>
    <w:rsid w:val="00772083"/>
    <w:rsid w:val="007727CD"/>
    <w:rsid w:val="007740CE"/>
    <w:rsid w:val="0077418B"/>
    <w:rsid w:val="00774D07"/>
    <w:rsid w:val="00774F1A"/>
    <w:rsid w:val="00776CCD"/>
    <w:rsid w:val="00777099"/>
    <w:rsid w:val="00783C8F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E07D2"/>
    <w:rsid w:val="007E4575"/>
    <w:rsid w:val="007F0AD9"/>
    <w:rsid w:val="007F31C2"/>
    <w:rsid w:val="007F3E30"/>
    <w:rsid w:val="007F4226"/>
    <w:rsid w:val="008031A6"/>
    <w:rsid w:val="008035D8"/>
    <w:rsid w:val="008077F1"/>
    <w:rsid w:val="0081108F"/>
    <w:rsid w:val="008116DD"/>
    <w:rsid w:val="00815865"/>
    <w:rsid w:val="008168EE"/>
    <w:rsid w:val="00821E0F"/>
    <w:rsid w:val="00821E6F"/>
    <w:rsid w:val="0082539A"/>
    <w:rsid w:val="0082600F"/>
    <w:rsid w:val="008301AE"/>
    <w:rsid w:val="00831C99"/>
    <w:rsid w:val="00832EBF"/>
    <w:rsid w:val="0084396B"/>
    <w:rsid w:val="00851093"/>
    <w:rsid w:val="00852158"/>
    <w:rsid w:val="00855B62"/>
    <w:rsid w:val="00856EC7"/>
    <w:rsid w:val="00862633"/>
    <w:rsid w:val="008648A3"/>
    <w:rsid w:val="00864E24"/>
    <w:rsid w:val="00867CD0"/>
    <w:rsid w:val="00872E13"/>
    <w:rsid w:val="00886BB3"/>
    <w:rsid w:val="00890AE9"/>
    <w:rsid w:val="00891E89"/>
    <w:rsid w:val="008A0225"/>
    <w:rsid w:val="008A14BB"/>
    <w:rsid w:val="008A1BF1"/>
    <w:rsid w:val="008A3B4B"/>
    <w:rsid w:val="008A5AE1"/>
    <w:rsid w:val="008B319C"/>
    <w:rsid w:val="008C542A"/>
    <w:rsid w:val="008C6733"/>
    <w:rsid w:val="008C7422"/>
    <w:rsid w:val="008C7DF1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F0B37"/>
    <w:rsid w:val="008F1EC6"/>
    <w:rsid w:val="008F2132"/>
    <w:rsid w:val="008F52B3"/>
    <w:rsid w:val="008F7436"/>
    <w:rsid w:val="008F79B7"/>
    <w:rsid w:val="00901F8C"/>
    <w:rsid w:val="00902941"/>
    <w:rsid w:val="00903E35"/>
    <w:rsid w:val="009042EE"/>
    <w:rsid w:val="00907545"/>
    <w:rsid w:val="0091031B"/>
    <w:rsid w:val="00911849"/>
    <w:rsid w:val="00915107"/>
    <w:rsid w:val="00916687"/>
    <w:rsid w:val="00921A90"/>
    <w:rsid w:val="0092672B"/>
    <w:rsid w:val="009456F5"/>
    <w:rsid w:val="00946B4B"/>
    <w:rsid w:val="00950201"/>
    <w:rsid w:val="00953BBF"/>
    <w:rsid w:val="00955C69"/>
    <w:rsid w:val="00955EA8"/>
    <w:rsid w:val="00957E14"/>
    <w:rsid w:val="00960903"/>
    <w:rsid w:val="00960D76"/>
    <w:rsid w:val="00962A4D"/>
    <w:rsid w:val="00965065"/>
    <w:rsid w:val="00966734"/>
    <w:rsid w:val="0097187E"/>
    <w:rsid w:val="00973A18"/>
    <w:rsid w:val="009801BA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3F1D"/>
    <w:rsid w:val="009A521F"/>
    <w:rsid w:val="009A5C33"/>
    <w:rsid w:val="009B1199"/>
    <w:rsid w:val="009B11A5"/>
    <w:rsid w:val="009B4E00"/>
    <w:rsid w:val="009B5647"/>
    <w:rsid w:val="009C1CDF"/>
    <w:rsid w:val="009C3762"/>
    <w:rsid w:val="009C78BF"/>
    <w:rsid w:val="009C78EB"/>
    <w:rsid w:val="009D1180"/>
    <w:rsid w:val="009D1AA5"/>
    <w:rsid w:val="009D25C4"/>
    <w:rsid w:val="009D3C3E"/>
    <w:rsid w:val="009D58D4"/>
    <w:rsid w:val="009E470B"/>
    <w:rsid w:val="009E6937"/>
    <w:rsid w:val="009E7BBF"/>
    <w:rsid w:val="009F077B"/>
    <w:rsid w:val="009F10A6"/>
    <w:rsid w:val="009F1573"/>
    <w:rsid w:val="009F4F44"/>
    <w:rsid w:val="009F63C5"/>
    <w:rsid w:val="00A03F96"/>
    <w:rsid w:val="00A06310"/>
    <w:rsid w:val="00A07089"/>
    <w:rsid w:val="00A16F8A"/>
    <w:rsid w:val="00A17AA1"/>
    <w:rsid w:val="00A21BA5"/>
    <w:rsid w:val="00A2317F"/>
    <w:rsid w:val="00A24ECD"/>
    <w:rsid w:val="00A24FC2"/>
    <w:rsid w:val="00A30B31"/>
    <w:rsid w:val="00A34754"/>
    <w:rsid w:val="00A40891"/>
    <w:rsid w:val="00A40A3F"/>
    <w:rsid w:val="00A419BD"/>
    <w:rsid w:val="00A43EBA"/>
    <w:rsid w:val="00A54888"/>
    <w:rsid w:val="00A60A8C"/>
    <w:rsid w:val="00A637C7"/>
    <w:rsid w:val="00A66E77"/>
    <w:rsid w:val="00A67106"/>
    <w:rsid w:val="00A71322"/>
    <w:rsid w:val="00A742EE"/>
    <w:rsid w:val="00A8082C"/>
    <w:rsid w:val="00A8100E"/>
    <w:rsid w:val="00A81F67"/>
    <w:rsid w:val="00A84439"/>
    <w:rsid w:val="00A90151"/>
    <w:rsid w:val="00A911FE"/>
    <w:rsid w:val="00A9299F"/>
    <w:rsid w:val="00A95AE3"/>
    <w:rsid w:val="00A95BD9"/>
    <w:rsid w:val="00A97E0C"/>
    <w:rsid w:val="00AA1810"/>
    <w:rsid w:val="00AA1CB5"/>
    <w:rsid w:val="00AA459E"/>
    <w:rsid w:val="00AA4A3B"/>
    <w:rsid w:val="00AA5602"/>
    <w:rsid w:val="00AB0DA1"/>
    <w:rsid w:val="00AB2926"/>
    <w:rsid w:val="00AB58A6"/>
    <w:rsid w:val="00AB5A91"/>
    <w:rsid w:val="00AB7114"/>
    <w:rsid w:val="00AC0985"/>
    <w:rsid w:val="00AC0DB7"/>
    <w:rsid w:val="00AC2C1C"/>
    <w:rsid w:val="00AC3FF8"/>
    <w:rsid w:val="00AD09E9"/>
    <w:rsid w:val="00AE0AE8"/>
    <w:rsid w:val="00AE10E4"/>
    <w:rsid w:val="00AE26BA"/>
    <w:rsid w:val="00AE296E"/>
    <w:rsid w:val="00AE3AE6"/>
    <w:rsid w:val="00AF1D33"/>
    <w:rsid w:val="00AF40FC"/>
    <w:rsid w:val="00AF6A59"/>
    <w:rsid w:val="00B013B8"/>
    <w:rsid w:val="00B06C61"/>
    <w:rsid w:val="00B07C82"/>
    <w:rsid w:val="00B10F27"/>
    <w:rsid w:val="00B24866"/>
    <w:rsid w:val="00B27FCD"/>
    <w:rsid w:val="00B30718"/>
    <w:rsid w:val="00B3219B"/>
    <w:rsid w:val="00B36E4A"/>
    <w:rsid w:val="00B41F25"/>
    <w:rsid w:val="00B4348A"/>
    <w:rsid w:val="00B45314"/>
    <w:rsid w:val="00B51A2B"/>
    <w:rsid w:val="00B54042"/>
    <w:rsid w:val="00B540BE"/>
    <w:rsid w:val="00B544B3"/>
    <w:rsid w:val="00B552A5"/>
    <w:rsid w:val="00B55308"/>
    <w:rsid w:val="00B55721"/>
    <w:rsid w:val="00B60380"/>
    <w:rsid w:val="00B610FB"/>
    <w:rsid w:val="00B65C8A"/>
    <w:rsid w:val="00B67B73"/>
    <w:rsid w:val="00B701CB"/>
    <w:rsid w:val="00B709C8"/>
    <w:rsid w:val="00B7633F"/>
    <w:rsid w:val="00B81A10"/>
    <w:rsid w:val="00B81E5C"/>
    <w:rsid w:val="00B8653E"/>
    <w:rsid w:val="00B91EC4"/>
    <w:rsid w:val="00B94985"/>
    <w:rsid w:val="00B967B4"/>
    <w:rsid w:val="00BA64DF"/>
    <w:rsid w:val="00BB00F0"/>
    <w:rsid w:val="00BB036F"/>
    <w:rsid w:val="00BB1196"/>
    <w:rsid w:val="00BB1D17"/>
    <w:rsid w:val="00BB5B97"/>
    <w:rsid w:val="00BB7AF4"/>
    <w:rsid w:val="00BC1C89"/>
    <w:rsid w:val="00BD5F30"/>
    <w:rsid w:val="00BD5FF1"/>
    <w:rsid w:val="00BE1A8A"/>
    <w:rsid w:val="00BE2DDF"/>
    <w:rsid w:val="00BF5B16"/>
    <w:rsid w:val="00BF7ABD"/>
    <w:rsid w:val="00C0069B"/>
    <w:rsid w:val="00C022A4"/>
    <w:rsid w:val="00C02CD2"/>
    <w:rsid w:val="00C04712"/>
    <w:rsid w:val="00C10C12"/>
    <w:rsid w:val="00C14F91"/>
    <w:rsid w:val="00C166CE"/>
    <w:rsid w:val="00C17FD0"/>
    <w:rsid w:val="00C210E9"/>
    <w:rsid w:val="00C24415"/>
    <w:rsid w:val="00C24470"/>
    <w:rsid w:val="00C26061"/>
    <w:rsid w:val="00C275F6"/>
    <w:rsid w:val="00C3055E"/>
    <w:rsid w:val="00C32EE2"/>
    <w:rsid w:val="00C35E0E"/>
    <w:rsid w:val="00C367CB"/>
    <w:rsid w:val="00C44E51"/>
    <w:rsid w:val="00C47213"/>
    <w:rsid w:val="00C531A1"/>
    <w:rsid w:val="00C5378B"/>
    <w:rsid w:val="00C54BD5"/>
    <w:rsid w:val="00C55791"/>
    <w:rsid w:val="00C56178"/>
    <w:rsid w:val="00C5795D"/>
    <w:rsid w:val="00C615AD"/>
    <w:rsid w:val="00C62411"/>
    <w:rsid w:val="00C62C56"/>
    <w:rsid w:val="00C62D20"/>
    <w:rsid w:val="00C64445"/>
    <w:rsid w:val="00C6627E"/>
    <w:rsid w:val="00C6777F"/>
    <w:rsid w:val="00C7173E"/>
    <w:rsid w:val="00C75834"/>
    <w:rsid w:val="00C81248"/>
    <w:rsid w:val="00C81AC5"/>
    <w:rsid w:val="00C823F8"/>
    <w:rsid w:val="00C8275A"/>
    <w:rsid w:val="00C8407A"/>
    <w:rsid w:val="00C85AE8"/>
    <w:rsid w:val="00C90E77"/>
    <w:rsid w:val="00C94416"/>
    <w:rsid w:val="00CA30A6"/>
    <w:rsid w:val="00CA3893"/>
    <w:rsid w:val="00CB06F9"/>
    <w:rsid w:val="00CB23AD"/>
    <w:rsid w:val="00CB36B5"/>
    <w:rsid w:val="00CC0AF8"/>
    <w:rsid w:val="00CC13D0"/>
    <w:rsid w:val="00CC1A8D"/>
    <w:rsid w:val="00CC2FCE"/>
    <w:rsid w:val="00CD1E1F"/>
    <w:rsid w:val="00CD267F"/>
    <w:rsid w:val="00CD4414"/>
    <w:rsid w:val="00CD5B77"/>
    <w:rsid w:val="00CD71F5"/>
    <w:rsid w:val="00CD778D"/>
    <w:rsid w:val="00CE3200"/>
    <w:rsid w:val="00CE5195"/>
    <w:rsid w:val="00CE5251"/>
    <w:rsid w:val="00CF2264"/>
    <w:rsid w:val="00CF6CEC"/>
    <w:rsid w:val="00CF7028"/>
    <w:rsid w:val="00D026C6"/>
    <w:rsid w:val="00D04DB8"/>
    <w:rsid w:val="00D07004"/>
    <w:rsid w:val="00D12341"/>
    <w:rsid w:val="00D12F4C"/>
    <w:rsid w:val="00D30671"/>
    <w:rsid w:val="00D319CD"/>
    <w:rsid w:val="00D321A0"/>
    <w:rsid w:val="00D330A6"/>
    <w:rsid w:val="00D41658"/>
    <w:rsid w:val="00D4219A"/>
    <w:rsid w:val="00D427D5"/>
    <w:rsid w:val="00D43813"/>
    <w:rsid w:val="00D45001"/>
    <w:rsid w:val="00D45644"/>
    <w:rsid w:val="00D47BA5"/>
    <w:rsid w:val="00D574EB"/>
    <w:rsid w:val="00D61BC8"/>
    <w:rsid w:val="00D62DD6"/>
    <w:rsid w:val="00D6394E"/>
    <w:rsid w:val="00D63A3C"/>
    <w:rsid w:val="00D63F41"/>
    <w:rsid w:val="00D6506C"/>
    <w:rsid w:val="00D655FA"/>
    <w:rsid w:val="00D74B9D"/>
    <w:rsid w:val="00D752F3"/>
    <w:rsid w:val="00D82D70"/>
    <w:rsid w:val="00D908F6"/>
    <w:rsid w:val="00D91776"/>
    <w:rsid w:val="00D91A67"/>
    <w:rsid w:val="00D92F08"/>
    <w:rsid w:val="00D97F2C"/>
    <w:rsid w:val="00DA1C4D"/>
    <w:rsid w:val="00DA1F55"/>
    <w:rsid w:val="00DA490B"/>
    <w:rsid w:val="00DA50D5"/>
    <w:rsid w:val="00DB2316"/>
    <w:rsid w:val="00DB2380"/>
    <w:rsid w:val="00DB3348"/>
    <w:rsid w:val="00DC0DAA"/>
    <w:rsid w:val="00DC22BC"/>
    <w:rsid w:val="00DD53DF"/>
    <w:rsid w:val="00DE054C"/>
    <w:rsid w:val="00DE23A1"/>
    <w:rsid w:val="00DE779B"/>
    <w:rsid w:val="00DE791A"/>
    <w:rsid w:val="00DE7E5D"/>
    <w:rsid w:val="00DF04CB"/>
    <w:rsid w:val="00DF2A92"/>
    <w:rsid w:val="00DF36A8"/>
    <w:rsid w:val="00DF3E1B"/>
    <w:rsid w:val="00DF3FB5"/>
    <w:rsid w:val="00DF4201"/>
    <w:rsid w:val="00DF6041"/>
    <w:rsid w:val="00DF69A4"/>
    <w:rsid w:val="00E00C86"/>
    <w:rsid w:val="00E04E76"/>
    <w:rsid w:val="00E05D99"/>
    <w:rsid w:val="00E105C4"/>
    <w:rsid w:val="00E10A3F"/>
    <w:rsid w:val="00E10BA8"/>
    <w:rsid w:val="00E16F93"/>
    <w:rsid w:val="00E200FB"/>
    <w:rsid w:val="00E20E95"/>
    <w:rsid w:val="00E23318"/>
    <w:rsid w:val="00E25D87"/>
    <w:rsid w:val="00E2649F"/>
    <w:rsid w:val="00E3337A"/>
    <w:rsid w:val="00E40B44"/>
    <w:rsid w:val="00E475B1"/>
    <w:rsid w:val="00E47BE0"/>
    <w:rsid w:val="00E55A19"/>
    <w:rsid w:val="00E56688"/>
    <w:rsid w:val="00E56D50"/>
    <w:rsid w:val="00E63AFB"/>
    <w:rsid w:val="00E6407D"/>
    <w:rsid w:val="00E65D9D"/>
    <w:rsid w:val="00E71358"/>
    <w:rsid w:val="00E720D9"/>
    <w:rsid w:val="00E7566B"/>
    <w:rsid w:val="00E76917"/>
    <w:rsid w:val="00E76AED"/>
    <w:rsid w:val="00E84818"/>
    <w:rsid w:val="00E86321"/>
    <w:rsid w:val="00E873EF"/>
    <w:rsid w:val="00E90745"/>
    <w:rsid w:val="00E94051"/>
    <w:rsid w:val="00E96ADD"/>
    <w:rsid w:val="00E97237"/>
    <w:rsid w:val="00EA7B17"/>
    <w:rsid w:val="00EB0EE6"/>
    <w:rsid w:val="00EB7572"/>
    <w:rsid w:val="00EC2E7C"/>
    <w:rsid w:val="00EC2F5F"/>
    <w:rsid w:val="00EC3E37"/>
    <w:rsid w:val="00EC66DE"/>
    <w:rsid w:val="00ED79B6"/>
    <w:rsid w:val="00EE14AF"/>
    <w:rsid w:val="00EE2927"/>
    <w:rsid w:val="00EE5717"/>
    <w:rsid w:val="00EF13C4"/>
    <w:rsid w:val="00EF288D"/>
    <w:rsid w:val="00EF2AC7"/>
    <w:rsid w:val="00EF7B90"/>
    <w:rsid w:val="00F01744"/>
    <w:rsid w:val="00F01DFC"/>
    <w:rsid w:val="00F0229E"/>
    <w:rsid w:val="00F025F0"/>
    <w:rsid w:val="00F10436"/>
    <w:rsid w:val="00F14FDE"/>
    <w:rsid w:val="00F219D0"/>
    <w:rsid w:val="00F2323A"/>
    <w:rsid w:val="00F249B1"/>
    <w:rsid w:val="00F249D4"/>
    <w:rsid w:val="00F31C6E"/>
    <w:rsid w:val="00F3288B"/>
    <w:rsid w:val="00F3663A"/>
    <w:rsid w:val="00F45192"/>
    <w:rsid w:val="00F46D10"/>
    <w:rsid w:val="00F522CD"/>
    <w:rsid w:val="00F52B20"/>
    <w:rsid w:val="00F547AE"/>
    <w:rsid w:val="00F54E67"/>
    <w:rsid w:val="00F55061"/>
    <w:rsid w:val="00F552BD"/>
    <w:rsid w:val="00F56A8C"/>
    <w:rsid w:val="00F6002B"/>
    <w:rsid w:val="00F60963"/>
    <w:rsid w:val="00F63E5D"/>
    <w:rsid w:val="00F64BF2"/>
    <w:rsid w:val="00F65C1A"/>
    <w:rsid w:val="00F66E00"/>
    <w:rsid w:val="00F6770D"/>
    <w:rsid w:val="00F67EED"/>
    <w:rsid w:val="00F70526"/>
    <w:rsid w:val="00F9140D"/>
    <w:rsid w:val="00F92D56"/>
    <w:rsid w:val="00F94470"/>
    <w:rsid w:val="00F97C0C"/>
    <w:rsid w:val="00FA2042"/>
    <w:rsid w:val="00FB524A"/>
    <w:rsid w:val="00FB560E"/>
    <w:rsid w:val="00FB5D97"/>
    <w:rsid w:val="00FB644E"/>
    <w:rsid w:val="00FB6D14"/>
    <w:rsid w:val="00FB747A"/>
    <w:rsid w:val="00FC1A0F"/>
    <w:rsid w:val="00FC4DBA"/>
    <w:rsid w:val="00FD2632"/>
    <w:rsid w:val="00FD3141"/>
    <w:rsid w:val="00FD60DA"/>
    <w:rsid w:val="00FD6C7A"/>
    <w:rsid w:val="00FD6FC4"/>
    <w:rsid w:val="00FE0740"/>
    <w:rsid w:val="00FE07F2"/>
    <w:rsid w:val="00FE1A5E"/>
    <w:rsid w:val="00FE40D7"/>
    <w:rsid w:val="00FE452A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06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06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www.linkedin.com/company/zwiazek-polskiego-leasingu-zpl/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://www.leasing.org.pl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yperlink" Target="https://twitter.com/ZwiazekLeasing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5WZ3o0aXo4RUcxWnRuUFZuaVVUaFo1NFZ4NElOOFhORzwvZWxoPjxjb25maWc+RUZMPC9jb25maWc+PHBvbD5QTDE8L3BvbD48c3VtbWFyeT5QdWJsaWN6bmUgKEMwKTwvc3VtbWFyeT48YXBwPldvcmQ8L2FwcD48U2lnbmF0dXJlVmFsaWQ+ZmFsc2U8L1NpZ25hdHVyZVZhbGlkPjwvTGFiZWxJbmZvWG1sUGFydD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LFD19y3K8AML4bVKB/CZAZ3MbpOQ6+/G/0cqpqu7ksU=</DigestValue>
      </Reference>
      <Reference URI="#INFO">
        <DigestMethod Algorithm="http://www.w3.org/2001/04/xmlenc#sha256"/>
        <DigestValue>v8f7Uu2mRVDyBy86DjHWZX6HoEuUseMxG1cVRh2Jgkw=</DigestValue>
      </Reference>
    </SignedInfo>
    <SignatureValue>hw7RmsnwqMcGEPujxEE2fzi80dcegGqw+Y45kuUc85X1mx+JrxT/CePf+J8wgO3HOzRdhm0Lw7ubtEm8zEn2vQ==</SignatureValue>
    <Object Id="INFO">
      <ArrayOfString xmlns:xsd="http://www.w3.org/2001/XMLSchema" xmlns:xsi="http://www.w3.org/2001/XMLSchema-instance" xmlns="">
        <string>Vgz4iz8EG1ZtnPVniUThZ54Vx4IN8XNG</string>
      </ArrayOfString>
    </Object>
  </Signature>
</WrappedLabelInfo>
</file>

<file path=customXml/item3.xml><?xml version="1.0" encoding="utf-8"?>
<sisl xmlns:xsd="http://www.w3.org/2001/XMLSchema" xmlns:xsi="http://www.w3.org/2001/XMLSchema-instance" xmlns="http://www.boldonjames.com/2008/01/sie/internal/label" sislVersion="0" policy="b01618b0-e416-44c4-bdda-3d6530717e38" origin="userSelected">
  <element uid="f9b62fce-670f-4368-8ce5-16e68107b48c" value=""/>
</sisl>
</file>

<file path=customXml/itemProps1.xml><?xml version="1.0" encoding="utf-8"?>
<ds:datastoreItem xmlns:ds="http://schemas.openxmlformats.org/officeDocument/2006/customXml" ds:itemID="{970FB1BB-C57A-4110-AC3E-B0897A7F26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69F14B-6D42-405B-9AFF-D87DEFC9905F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1335D793-2086-421A-A0BC-1CFC5EE08A0B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9</Pages>
  <Words>1353</Words>
  <Characters>8124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44</cp:revision>
  <cp:lastPrinted>2026-04-14T11:00:00Z</cp:lastPrinted>
  <dcterms:created xsi:type="dcterms:W3CDTF">2026-04-10T08:50:00Z</dcterms:created>
  <dcterms:modified xsi:type="dcterms:W3CDTF">2026-04-14T12:36:00Z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7318ebdb-38e1-43bb-a0e6-3fdb38fd7832</vt:lpwstr>
  </property>
  <property fmtid="{D5CDD505-2E9C-101B-9397-08002B2CF9AE}" pid="3" name="bjSaver">
    <vt:lpwstr>rM7+OWUNI1SMKiHmt4fka16++tsSPLNr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policy="b01618b0-e416-44c4-bdda-3d6530717e38" origin="userSelected" xmlns="http://www.boldonj</vt:lpwstr>
  </property>
  <property fmtid="{D5CDD505-2E9C-101B-9397-08002B2CF9AE}" pid="5" name="bjDocumentLabelXML-0">
    <vt:lpwstr>ames.com/2008/01/sie/internal/label"&gt;&lt;element uid="f9b62fce-670f-4368-8ce5-16e68107b48c" value="" /&gt;&lt;/sisl&gt;</vt:lpwstr>
  </property>
  <property fmtid="{D5CDD505-2E9C-101B-9397-08002B2CF9AE}" pid="6" name="bjDocumentSecurityLabel">
    <vt:lpwstr>Klasyfikacja: Publiczne / Public (C0)</vt:lpwstr>
  </property>
  <property fmtid="{D5CDD505-2E9C-101B-9397-08002B2CF9AE}" pid="7" name="bjClsUserRVM">
    <vt:lpwstr>[]</vt:lpwstr>
  </property>
  <property fmtid="{D5CDD505-2E9C-101B-9397-08002B2CF9AE}" pid="8" name="bjpmDocIH">
    <vt:lpwstr>nDinZHq97eGifm0GHPEfvaPXhYSfxCWp</vt:lpwstr>
  </property>
</Properties>
</file>