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43181" w14:textId="001EFB4F" w:rsidR="005E6FF1" w:rsidRPr="003120D4" w:rsidRDefault="00133576" w:rsidP="003120D4">
      <w:pPr>
        <w:pStyle w:val="Tekstpodstawowy"/>
        <w:spacing w:line="276" w:lineRule="auto"/>
        <w:jc w:val="both"/>
        <w:rPr>
          <w:rFonts w:cstheme="minorHAnsi"/>
          <w:sz w:val="24"/>
          <w:szCs w:val="24"/>
        </w:rPr>
      </w:pPr>
      <w:r w:rsidRPr="00A11DBA">
        <w:rPr>
          <w:rFonts w:cstheme="minorHAnsi"/>
          <w:sz w:val="24"/>
          <w:szCs w:val="24"/>
        </w:rPr>
        <w:t>Informacja prasowa</w:t>
      </w:r>
    </w:p>
    <w:p w14:paraId="0CF0B8CB" w14:textId="77777777" w:rsidR="00135BFF" w:rsidRPr="00135BFF" w:rsidRDefault="00135BFF" w:rsidP="00135BFF">
      <w:pPr>
        <w:spacing w:before="240" w:after="240" w:line="276" w:lineRule="auto"/>
        <w:jc w:val="both"/>
        <w:rPr>
          <w:rFonts w:cstheme="minorHAnsi"/>
          <w:b/>
          <w:bCs/>
          <w:color w:val="0070C0"/>
          <w:sz w:val="32"/>
          <w:szCs w:val="32"/>
        </w:rPr>
      </w:pPr>
      <w:r w:rsidRPr="00135BFF">
        <w:rPr>
          <w:rFonts w:cstheme="minorHAnsi"/>
          <w:b/>
          <w:bCs/>
          <w:color w:val="0070C0"/>
          <w:sz w:val="32"/>
          <w:szCs w:val="32"/>
        </w:rPr>
        <w:t>Branża leasingowa z dobrym początkiem 2026 roku – dwucyfrowy wzrost w I kwartale</w:t>
      </w:r>
    </w:p>
    <w:p w14:paraId="2B7FBA35" w14:textId="4CD84AF3" w:rsidR="00341CEF" w:rsidRPr="00341CEF" w:rsidRDefault="00341CEF" w:rsidP="00341CEF">
      <w:pPr>
        <w:pStyle w:val="Akapitzlist"/>
        <w:numPr>
          <w:ilvl w:val="0"/>
          <w:numId w:val="32"/>
        </w:numPr>
        <w:spacing w:before="240" w:after="240" w:line="276" w:lineRule="auto"/>
        <w:jc w:val="both"/>
        <w:rPr>
          <w:rFonts w:ascii="Calibri" w:hAnsi="Calibri" w:cs="Calibri"/>
          <w:b/>
          <w:bCs/>
        </w:rPr>
      </w:pPr>
      <w:r w:rsidRPr="00341CEF">
        <w:rPr>
          <w:rFonts w:ascii="Calibri" w:hAnsi="Calibri" w:cs="Calibri"/>
          <w:b/>
          <w:bCs/>
        </w:rPr>
        <w:t>Rynek leasingu wzrósł o 10,8</w:t>
      </w:r>
      <w:r w:rsidR="00A10ACD">
        <w:rPr>
          <w:rFonts w:ascii="Calibri" w:hAnsi="Calibri" w:cs="Calibri"/>
          <w:b/>
          <w:bCs/>
        </w:rPr>
        <w:t xml:space="preserve"> proc.</w:t>
      </w:r>
      <w:r w:rsidRPr="00341CEF">
        <w:rPr>
          <w:rFonts w:ascii="Calibri" w:hAnsi="Calibri" w:cs="Calibri"/>
          <w:b/>
          <w:bCs/>
        </w:rPr>
        <w:t xml:space="preserve"> r/r, osiągając wartość 29,2 mld zł w I kwartale 2026 r., co potwierdza stabilny trend wzrostowy branży</w:t>
      </w:r>
    </w:p>
    <w:p w14:paraId="5E1743FE" w14:textId="18A8551B" w:rsidR="00341CEF" w:rsidRPr="00341CEF" w:rsidRDefault="00341CEF" w:rsidP="00341CEF">
      <w:pPr>
        <w:pStyle w:val="Akapitzlist"/>
        <w:numPr>
          <w:ilvl w:val="0"/>
          <w:numId w:val="32"/>
        </w:numPr>
        <w:spacing w:before="240" w:after="240" w:line="276" w:lineRule="auto"/>
        <w:jc w:val="both"/>
        <w:rPr>
          <w:rFonts w:ascii="Calibri" w:hAnsi="Calibri" w:cs="Calibri"/>
          <w:b/>
          <w:bCs/>
        </w:rPr>
      </w:pPr>
      <w:r w:rsidRPr="00341CEF">
        <w:rPr>
          <w:rFonts w:ascii="Calibri" w:hAnsi="Calibri" w:cs="Calibri"/>
          <w:b/>
          <w:bCs/>
        </w:rPr>
        <w:t xml:space="preserve">Segment pojazdów pozostaje głównym motorem rynku – szczególnie silny wzrost odnotowano w finansowaniu pojazdów ciężkich </w:t>
      </w:r>
      <w:r w:rsidR="00921DC0">
        <w:rPr>
          <w:rFonts w:ascii="Calibri" w:hAnsi="Calibri" w:cs="Calibri"/>
          <w:b/>
          <w:bCs/>
        </w:rPr>
        <w:t>(19 proc. r/r)</w:t>
      </w:r>
    </w:p>
    <w:p w14:paraId="01E9F34D" w14:textId="1F568298" w:rsidR="00341CEF" w:rsidRPr="00341CEF" w:rsidRDefault="00341CEF" w:rsidP="00341CEF">
      <w:pPr>
        <w:pStyle w:val="Akapitzlist"/>
        <w:numPr>
          <w:ilvl w:val="0"/>
          <w:numId w:val="32"/>
        </w:numPr>
        <w:spacing w:before="240" w:after="240" w:line="276" w:lineRule="auto"/>
        <w:jc w:val="both"/>
        <w:rPr>
          <w:rFonts w:ascii="Calibri" w:hAnsi="Calibri" w:cs="Calibri"/>
          <w:b/>
          <w:bCs/>
        </w:rPr>
      </w:pPr>
      <w:r w:rsidRPr="00341CEF">
        <w:rPr>
          <w:rFonts w:ascii="Calibri" w:hAnsi="Calibri" w:cs="Calibri"/>
          <w:b/>
          <w:bCs/>
        </w:rPr>
        <w:t>Maszyny i urządzenia rosną umiarkowanie (8,8</w:t>
      </w:r>
      <w:r w:rsidR="00A10ACD">
        <w:rPr>
          <w:rFonts w:ascii="Calibri" w:hAnsi="Calibri" w:cs="Calibri"/>
          <w:b/>
          <w:bCs/>
        </w:rPr>
        <w:t xml:space="preserve"> proc.</w:t>
      </w:r>
      <w:r w:rsidRPr="00341CEF">
        <w:rPr>
          <w:rFonts w:ascii="Calibri" w:hAnsi="Calibri" w:cs="Calibri"/>
          <w:b/>
          <w:bCs/>
        </w:rPr>
        <w:t xml:space="preserve"> r/r) przy wyraźnym zróżnicowaniu sektorowym – dynamiczne wzrosty w części kategorii kontrastują ze spadkami m.in. w rolnictwie </w:t>
      </w:r>
    </w:p>
    <w:p w14:paraId="16249440" w14:textId="1223E2BE" w:rsidR="00743B2D" w:rsidRDefault="005E6FF1" w:rsidP="00743B2D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5E6FF1">
        <w:rPr>
          <w:rFonts w:ascii="Calibri" w:hAnsi="Calibri" w:cs="Calibri"/>
          <w:b/>
          <w:bCs/>
          <w:sz w:val="20"/>
          <w:szCs w:val="20"/>
        </w:rPr>
        <w:t xml:space="preserve">Warszawa, </w:t>
      </w:r>
      <w:r w:rsidR="00605462">
        <w:rPr>
          <w:rFonts w:ascii="Calibri" w:hAnsi="Calibri" w:cs="Calibri"/>
          <w:b/>
          <w:bCs/>
          <w:sz w:val="20"/>
          <w:szCs w:val="20"/>
        </w:rPr>
        <w:t>28 kwietnia</w:t>
      </w:r>
      <w:r w:rsidR="00FC3032">
        <w:rPr>
          <w:rFonts w:ascii="Calibri" w:hAnsi="Calibri" w:cs="Calibri"/>
          <w:b/>
          <w:bCs/>
          <w:sz w:val="20"/>
          <w:szCs w:val="20"/>
        </w:rPr>
        <w:t xml:space="preserve"> </w:t>
      </w:r>
      <w:r w:rsidRPr="005E6FF1">
        <w:rPr>
          <w:rFonts w:ascii="Calibri" w:hAnsi="Calibri" w:cs="Calibri"/>
          <w:b/>
          <w:bCs/>
          <w:sz w:val="20"/>
          <w:szCs w:val="20"/>
        </w:rPr>
        <w:t xml:space="preserve">2026 r. </w:t>
      </w:r>
      <w:r w:rsidR="00743B2D" w:rsidRPr="00743B2D">
        <w:rPr>
          <w:rFonts w:ascii="Calibri" w:hAnsi="Calibri" w:cs="Calibri"/>
          <w:sz w:val="20"/>
          <w:szCs w:val="20"/>
        </w:rPr>
        <w:t xml:space="preserve">– </w:t>
      </w:r>
      <w:r w:rsidR="00743B2D" w:rsidRPr="002D7150">
        <w:rPr>
          <w:rFonts w:ascii="Calibri" w:hAnsi="Calibri" w:cs="Calibri"/>
          <w:sz w:val="20"/>
          <w:szCs w:val="20"/>
        </w:rPr>
        <w:t xml:space="preserve">Branża leasingowa w Polsce utrzymuje pozytywną dynamikę rozwoju. W pierwszym kwartale 2026 r. firmy leasingowe sfinansowały </w:t>
      </w:r>
      <w:r w:rsidR="00164D38">
        <w:rPr>
          <w:rFonts w:ascii="Calibri" w:hAnsi="Calibri" w:cs="Calibri"/>
          <w:sz w:val="20"/>
          <w:szCs w:val="20"/>
        </w:rPr>
        <w:t>inwestycje przedsiębiorstw</w:t>
      </w:r>
      <w:r w:rsidR="00743B2D" w:rsidRPr="002D7150">
        <w:rPr>
          <w:rFonts w:ascii="Calibri" w:hAnsi="Calibri" w:cs="Calibri"/>
          <w:sz w:val="20"/>
          <w:szCs w:val="20"/>
        </w:rPr>
        <w:t xml:space="preserve"> o łącznej wartości 29,2 mld zł, co oznacza wzrost o 10,8</w:t>
      </w:r>
      <w:r w:rsidR="00A10ACD">
        <w:rPr>
          <w:rFonts w:ascii="Calibri" w:hAnsi="Calibri" w:cs="Calibri"/>
          <w:sz w:val="20"/>
          <w:szCs w:val="20"/>
        </w:rPr>
        <w:t xml:space="preserve"> proc.</w:t>
      </w:r>
      <w:r w:rsidR="00743B2D" w:rsidRPr="002D7150">
        <w:rPr>
          <w:rFonts w:ascii="Calibri" w:hAnsi="Calibri" w:cs="Calibri"/>
          <w:sz w:val="20"/>
          <w:szCs w:val="20"/>
        </w:rPr>
        <w:t xml:space="preserve"> r/r.</w:t>
      </w:r>
    </w:p>
    <w:p w14:paraId="521B8EF7" w14:textId="501808FB" w:rsidR="00240836" w:rsidRDefault="00240836" w:rsidP="00743B2D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240836">
        <w:rPr>
          <w:rFonts w:ascii="Calibri" w:hAnsi="Calibri" w:cs="Calibri"/>
          <w:sz w:val="20"/>
          <w:szCs w:val="20"/>
        </w:rPr>
        <w:t xml:space="preserve">Zdecydowanie szybciej niż leasing rosło finansowanie pożyczką leasingową. </w:t>
      </w:r>
      <w:r>
        <w:rPr>
          <w:rFonts w:ascii="Calibri" w:hAnsi="Calibri" w:cs="Calibri"/>
          <w:sz w:val="20"/>
          <w:szCs w:val="20"/>
        </w:rPr>
        <w:t>W</w:t>
      </w:r>
      <w:r w:rsidRPr="00240836">
        <w:rPr>
          <w:rFonts w:ascii="Calibri" w:hAnsi="Calibri" w:cs="Calibri"/>
          <w:sz w:val="20"/>
          <w:szCs w:val="20"/>
        </w:rPr>
        <w:t>artość</w:t>
      </w:r>
      <w:r>
        <w:rPr>
          <w:rFonts w:ascii="Calibri" w:hAnsi="Calibri" w:cs="Calibri"/>
          <w:sz w:val="20"/>
          <w:szCs w:val="20"/>
        </w:rPr>
        <w:t xml:space="preserve"> tej ostatniej</w:t>
      </w:r>
      <w:r w:rsidRPr="00240836">
        <w:rPr>
          <w:rFonts w:ascii="Calibri" w:hAnsi="Calibri" w:cs="Calibri"/>
          <w:sz w:val="20"/>
          <w:szCs w:val="20"/>
        </w:rPr>
        <w:t xml:space="preserve"> wzrosła o </w:t>
      </w:r>
      <w:r>
        <w:rPr>
          <w:rFonts w:ascii="Calibri" w:hAnsi="Calibri" w:cs="Calibri"/>
          <w:sz w:val="20"/>
          <w:szCs w:val="20"/>
        </w:rPr>
        <w:t>29</w:t>
      </w:r>
      <w:r w:rsidRPr="00240836">
        <w:rPr>
          <w:rFonts w:ascii="Calibri" w:hAnsi="Calibri" w:cs="Calibri"/>
          <w:sz w:val="20"/>
          <w:szCs w:val="20"/>
        </w:rPr>
        <w:t xml:space="preserve"> proc., do </w:t>
      </w:r>
      <w:r w:rsidR="00FC3032">
        <w:rPr>
          <w:rFonts w:ascii="Calibri" w:hAnsi="Calibri" w:cs="Calibri"/>
          <w:sz w:val="20"/>
          <w:szCs w:val="20"/>
        </w:rPr>
        <w:t xml:space="preserve">4,6 </w:t>
      </w:r>
      <w:r w:rsidRPr="00240836">
        <w:rPr>
          <w:rFonts w:ascii="Calibri" w:hAnsi="Calibri" w:cs="Calibri"/>
          <w:sz w:val="20"/>
          <w:szCs w:val="20"/>
        </w:rPr>
        <w:t xml:space="preserve">mld zł. Leasing </w:t>
      </w:r>
      <w:r w:rsidR="00FC3032">
        <w:rPr>
          <w:rFonts w:ascii="Calibri" w:hAnsi="Calibri" w:cs="Calibri"/>
          <w:sz w:val="20"/>
          <w:szCs w:val="20"/>
        </w:rPr>
        <w:t>jest</w:t>
      </w:r>
      <w:r w:rsidRPr="00240836">
        <w:rPr>
          <w:rFonts w:ascii="Calibri" w:hAnsi="Calibri" w:cs="Calibri"/>
          <w:sz w:val="20"/>
          <w:szCs w:val="20"/>
        </w:rPr>
        <w:t xml:space="preserve"> jednak dominującą formą finansowania – wartość sfinansowanych w ten sposób aktywów wyniosła </w:t>
      </w:r>
      <w:r w:rsidR="00FC3032">
        <w:rPr>
          <w:rFonts w:ascii="Calibri" w:hAnsi="Calibri" w:cs="Calibri"/>
          <w:sz w:val="20"/>
          <w:szCs w:val="20"/>
        </w:rPr>
        <w:t>24,6</w:t>
      </w:r>
      <w:r w:rsidRPr="00240836">
        <w:rPr>
          <w:rFonts w:ascii="Calibri" w:hAnsi="Calibri" w:cs="Calibri"/>
          <w:sz w:val="20"/>
          <w:szCs w:val="20"/>
        </w:rPr>
        <w:t xml:space="preserve"> mld zł, co oznacza wzrost o </w:t>
      </w:r>
      <w:r w:rsidR="00FC3032">
        <w:rPr>
          <w:rFonts w:ascii="Calibri" w:hAnsi="Calibri" w:cs="Calibri"/>
          <w:sz w:val="20"/>
          <w:szCs w:val="20"/>
        </w:rPr>
        <w:t>7,9</w:t>
      </w:r>
      <w:r w:rsidRPr="00240836">
        <w:rPr>
          <w:rFonts w:ascii="Calibri" w:hAnsi="Calibri" w:cs="Calibri"/>
          <w:sz w:val="20"/>
          <w:szCs w:val="20"/>
        </w:rPr>
        <w:t xml:space="preserve"> proc. r/r.</w:t>
      </w:r>
    </w:p>
    <w:p w14:paraId="234396CA" w14:textId="451D5A74" w:rsidR="00E21B4A" w:rsidRDefault="008E2A61" w:rsidP="00743B2D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- </w:t>
      </w:r>
      <w:r w:rsidR="00E21B4A" w:rsidRPr="00FC3032">
        <w:rPr>
          <w:rFonts w:ascii="Calibri" w:hAnsi="Calibri" w:cs="Calibri"/>
          <w:i/>
          <w:iCs/>
          <w:sz w:val="20"/>
          <w:szCs w:val="20"/>
        </w:rPr>
        <w:t>Pierwszy kwartał 2026 roku potwierdza stabilny rozwój branży leasingowej i jej istotną rolę w finansowaniu inwestycji przedsiębiorstw. Szczególnie pozytywnie wyróżnia się segment transportu ciężkiego, który jest silnie powiązany z aktywnością gospodarczą i handlem</w:t>
      </w:r>
      <w:r w:rsidR="00E21B4A" w:rsidRPr="00743B2D">
        <w:rPr>
          <w:rFonts w:ascii="Calibri" w:hAnsi="Calibri" w:cs="Calibri"/>
          <w:sz w:val="20"/>
          <w:szCs w:val="20"/>
        </w:rPr>
        <w:t xml:space="preserve"> – komentuje </w:t>
      </w:r>
      <w:r w:rsidR="00E21B4A" w:rsidRPr="00FC3032">
        <w:rPr>
          <w:rFonts w:ascii="Calibri" w:hAnsi="Calibri" w:cs="Calibri"/>
          <w:b/>
          <w:bCs/>
          <w:sz w:val="20"/>
          <w:szCs w:val="20"/>
        </w:rPr>
        <w:t>Monika Constant</w:t>
      </w:r>
      <w:r w:rsidR="00E21B4A" w:rsidRPr="00743B2D">
        <w:rPr>
          <w:rFonts w:ascii="Calibri" w:hAnsi="Calibri" w:cs="Calibri"/>
          <w:sz w:val="20"/>
          <w:szCs w:val="20"/>
        </w:rPr>
        <w:t>, prezeska Związku Polskiego Leasingu.</w:t>
      </w:r>
    </w:p>
    <w:p w14:paraId="4847F154" w14:textId="65C064F8" w:rsidR="00E7270A" w:rsidRPr="002D7150" w:rsidRDefault="00E7270A" w:rsidP="00743B2D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  <w:sz w:val="20"/>
          <w:szCs w:val="20"/>
        </w:rPr>
        <w:drawing>
          <wp:inline distT="0" distB="0" distL="0" distR="0" wp14:anchorId="20EE7E73" wp14:editId="149E8D5B">
            <wp:extent cx="5759450" cy="3009265"/>
            <wp:effectExtent l="0" t="0" r="0" b="635"/>
            <wp:docPr id="52283310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833102" name="Obraz 52283310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00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831C43" w14:textId="2237DC1A" w:rsidR="00F67D79" w:rsidRPr="004507D3" w:rsidRDefault="00F67D79" w:rsidP="00743B2D">
      <w:pPr>
        <w:spacing w:before="240" w:after="240" w:line="276" w:lineRule="auto"/>
        <w:jc w:val="both"/>
        <w:rPr>
          <w:rFonts w:cstheme="minorHAnsi"/>
          <w:b/>
          <w:bCs/>
          <w:color w:val="0070C0"/>
        </w:rPr>
      </w:pPr>
      <w:r w:rsidRPr="004507D3">
        <w:rPr>
          <w:rFonts w:cstheme="minorHAnsi"/>
          <w:b/>
          <w:bCs/>
          <w:color w:val="0070C0"/>
        </w:rPr>
        <w:lastRenderedPageBreak/>
        <w:t>Lekkie na plusie</w:t>
      </w:r>
    </w:p>
    <w:p w14:paraId="0350A935" w14:textId="4CDE76DF" w:rsidR="001E2415" w:rsidRPr="00F646C5" w:rsidRDefault="00743B2D" w:rsidP="00743B2D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5358EE">
        <w:rPr>
          <w:rFonts w:ascii="Calibri" w:hAnsi="Calibri" w:cs="Calibri"/>
          <w:sz w:val="20"/>
          <w:szCs w:val="20"/>
        </w:rPr>
        <w:t xml:space="preserve">Największy udział w strukturze rynku niezmiennie mają pojazdy, które odpowiadają za </w:t>
      </w:r>
      <w:r w:rsidR="00E35A99" w:rsidRPr="005358EE">
        <w:rPr>
          <w:rFonts w:ascii="Calibri" w:hAnsi="Calibri" w:cs="Calibri"/>
          <w:sz w:val="20"/>
          <w:szCs w:val="20"/>
        </w:rPr>
        <w:t>trzy czwarte</w:t>
      </w:r>
      <w:r w:rsidRPr="005358EE">
        <w:rPr>
          <w:rFonts w:ascii="Calibri" w:hAnsi="Calibri" w:cs="Calibri"/>
          <w:sz w:val="20"/>
          <w:szCs w:val="20"/>
        </w:rPr>
        <w:t xml:space="preserve"> </w:t>
      </w:r>
      <w:r w:rsidR="00E35A99" w:rsidRPr="005358EE">
        <w:rPr>
          <w:rFonts w:ascii="Calibri" w:hAnsi="Calibri" w:cs="Calibri"/>
          <w:sz w:val="20"/>
          <w:szCs w:val="20"/>
        </w:rPr>
        <w:t>s</w:t>
      </w:r>
      <w:r w:rsidRPr="005358EE">
        <w:rPr>
          <w:rFonts w:ascii="Calibri" w:hAnsi="Calibri" w:cs="Calibri"/>
          <w:sz w:val="20"/>
          <w:szCs w:val="20"/>
        </w:rPr>
        <w:t>finanso</w:t>
      </w:r>
      <w:r w:rsidR="00381B26" w:rsidRPr="005358EE">
        <w:rPr>
          <w:rFonts w:ascii="Calibri" w:hAnsi="Calibri" w:cs="Calibri"/>
          <w:sz w:val="20"/>
          <w:szCs w:val="20"/>
        </w:rPr>
        <w:t>wanych inwestycji</w:t>
      </w:r>
      <w:r w:rsidR="00F646C5">
        <w:rPr>
          <w:rFonts w:ascii="Calibri" w:hAnsi="Calibri" w:cs="Calibri"/>
          <w:sz w:val="20"/>
          <w:szCs w:val="20"/>
        </w:rPr>
        <w:t xml:space="preserve"> firm w Polsce</w:t>
      </w:r>
      <w:r w:rsidR="00164D38" w:rsidRPr="005358EE">
        <w:rPr>
          <w:rFonts w:ascii="Calibri" w:hAnsi="Calibri" w:cs="Calibri"/>
          <w:sz w:val="20"/>
          <w:szCs w:val="20"/>
        </w:rPr>
        <w:t xml:space="preserve"> przez firmy leasingowe</w:t>
      </w:r>
      <w:r w:rsidRPr="005358EE">
        <w:rPr>
          <w:rFonts w:ascii="Calibri" w:hAnsi="Calibri" w:cs="Calibri"/>
          <w:sz w:val="20"/>
          <w:szCs w:val="20"/>
        </w:rPr>
        <w:t>. Wartość tego segmentu wyniosła 22,1 mld zł, co oznacza wzrost o 12,1</w:t>
      </w:r>
      <w:r w:rsidR="00A10ACD" w:rsidRPr="005358EE">
        <w:rPr>
          <w:rFonts w:ascii="Calibri" w:hAnsi="Calibri" w:cs="Calibri"/>
          <w:sz w:val="20"/>
          <w:szCs w:val="20"/>
        </w:rPr>
        <w:t xml:space="preserve"> proc.</w:t>
      </w:r>
      <w:r w:rsidRPr="005358EE">
        <w:rPr>
          <w:rFonts w:ascii="Calibri" w:hAnsi="Calibri" w:cs="Calibri"/>
          <w:sz w:val="20"/>
          <w:szCs w:val="20"/>
        </w:rPr>
        <w:t xml:space="preserve"> r/r.</w:t>
      </w:r>
      <w:r w:rsidR="00164D38" w:rsidRPr="005358EE">
        <w:rPr>
          <w:rFonts w:ascii="Calibri" w:hAnsi="Calibri" w:cs="Calibri"/>
          <w:sz w:val="20"/>
          <w:szCs w:val="20"/>
        </w:rPr>
        <w:t xml:space="preserve"> </w:t>
      </w:r>
      <w:r w:rsidRPr="005358EE">
        <w:rPr>
          <w:rFonts w:ascii="Calibri" w:hAnsi="Calibri" w:cs="Calibri"/>
          <w:sz w:val="20"/>
          <w:szCs w:val="20"/>
        </w:rPr>
        <w:t>W ramach tej kategorii finansowanie pojazdów lekkich (samochody osobowe i dostawcze do 3,5 t) osiągnęło wartość 16,</w:t>
      </w:r>
      <w:r w:rsidR="00481D5E" w:rsidRPr="005358EE">
        <w:rPr>
          <w:rFonts w:ascii="Calibri" w:hAnsi="Calibri" w:cs="Calibri"/>
          <w:sz w:val="20"/>
          <w:szCs w:val="20"/>
        </w:rPr>
        <w:t>5</w:t>
      </w:r>
      <w:r w:rsidRPr="005358EE">
        <w:rPr>
          <w:rFonts w:ascii="Calibri" w:hAnsi="Calibri" w:cs="Calibri"/>
          <w:sz w:val="20"/>
          <w:szCs w:val="20"/>
        </w:rPr>
        <w:t xml:space="preserve"> mld zł, rosnąc o </w:t>
      </w:r>
      <w:r w:rsidR="00A10ACD" w:rsidRPr="005358EE">
        <w:rPr>
          <w:rFonts w:ascii="Calibri" w:hAnsi="Calibri" w:cs="Calibri"/>
          <w:sz w:val="20"/>
          <w:szCs w:val="20"/>
        </w:rPr>
        <w:t>10,1 proc.</w:t>
      </w:r>
      <w:r w:rsidRPr="005358EE">
        <w:rPr>
          <w:rFonts w:ascii="Calibri" w:hAnsi="Calibri" w:cs="Calibri"/>
          <w:sz w:val="20"/>
          <w:szCs w:val="20"/>
        </w:rPr>
        <w:t xml:space="preserve"> r/r i odpowiadając za 5</w:t>
      </w:r>
      <w:r w:rsidR="00784AE6" w:rsidRPr="005358EE">
        <w:rPr>
          <w:rFonts w:ascii="Calibri" w:hAnsi="Calibri" w:cs="Calibri"/>
          <w:sz w:val="20"/>
          <w:szCs w:val="20"/>
        </w:rPr>
        <w:t>6</w:t>
      </w:r>
      <w:r w:rsidRPr="005358EE">
        <w:rPr>
          <w:rFonts w:ascii="Calibri" w:hAnsi="Calibri" w:cs="Calibri"/>
          <w:sz w:val="20"/>
          <w:szCs w:val="20"/>
        </w:rPr>
        <w:t>,5</w:t>
      </w:r>
      <w:r w:rsidR="00A10ACD" w:rsidRPr="005358EE">
        <w:rPr>
          <w:rFonts w:ascii="Calibri" w:hAnsi="Calibri" w:cs="Calibri"/>
          <w:sz w:val="20"/>
          <w:szCs w:val="20"/>
        </w:rPr>
        <w:t xml:space="preserve"> proc.</w:t>
      </w:r>
      <w:r w:rsidRPr="005358EE">
        <w:rPr>
          <w:rFonts w:ascii="Calibri" w:hAnsi="Calibri" w:cs="Calibri"/>
          <w:sz w:val="20"/>
          <w:szCs w:val="20"/>
        </w:rPr>
        <w:t xml:space="preserve"> całego </w:t>
      </w:r>
      <w:r w:rsidRPr="00F646C5">
        <w:rPr>
          <w:rFonts w:ascii="Calibri" w:hAnsi="Calibri" w:cs="Calibri"/>
          <w:sz w:val="20"/>
          <w:szCs w:val="20"/>
        </w:rPr>
        <w:t xml:space="preserve">rynku leasingu. </w:t>
      </w:r>
    </w:p>
    <w:p w14:paraId="691D15AC" w14:textId="7DB9E1F1" w:rsidR="001E2415" w:rsidRDefault="005358EE" w:rsidP="00743B2D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F646C5">
        <w:rPr>
          <w:rFonts w:ascii="Calibri" w:hAnsi="Calibri" w:cs="Calibri"/>
          <w:sz w:val="20"/>
          <w:szCs w:val="20"/>
        </w:rPr>
        <w:t xml:space="preserve">- </w:t>
      </w:r>
      <w:r w:rsidR="005476F7" w:rsidRPr="00F646C5">
        <w:rPr>
          <w:rFonts w:ascii="Calibri" w:hAnsi="Calibri" w:cs="Calibri"/>
          <w:i/>
          <w:iCs/>
          <w:sz w:val="20"/>
          <w:szCs w:val="20"/>
        </w:rPr>
        <w:t>Rok 2026 rozpoczął się od umiarkowanego wzrostu finansowania samochodów osobowych i dostawczych leasingiem, przy jednoczesnym wyraźnym odbiciu w segmencie pożyczki.</w:t>
      </w:r>
      <w:r w:rsidRPr="00F646C5">
        <w:rPr>
          <w:rFonts w:ascii="Calibri" w:hAnsi="Calibri" w:cs="Calibri"/>
          <w:i/>
          <w:iCs/>
          <w:sz w:val="20"/>
          <w:szCs w:val="20"/>
        </w:rPr>
        <w:t xml:space="preserve"> </w:t>
      </w:r>
      <w:r w:rsidR="005476F7" w:rsidRPr="00F646C5">
        <w:rPr>
          <w:rFonts w:ascii="Calibri" w:hAnsi="Calibri" w:cs="Calibri"/>
          <w:i/>
          <w:iCs/>
          <w:sz w:val="20"/>
          <w:szCs w:val="20"/>
        </w:rPr>
        <w:t>Widzimy przyspieszenie dynamiki w kolejnych miesiącach – w marcu była ona istotnie wyższa niż w styczniu i lutym, a także przekroczyła tempo obserwowane pod koniec 2025 roku. Podobnie jak w poprzednich kwartałach, szybciej rośnie finansowanie samochodów osobowych niż lekkich pojazdów dostawczych.</w:t>
      </w:r>
      <w:r w:rsidRPr="00F646C5">
        <w:rPr>
          <w:rFonts w:ascii="Calibri" w:hAnsi="Calibri" w:cs="Calibri"/>
          <w:i/>
          <w:iCs/>
          <w:sz w:val="20"/>
          <w:szCs w:val="20"/>
        </w:rPr>
        <w:t xml:space="preserve"> </w:t>
      </w:r>
      <w:r w:rsidR="005476F7" w:rsidRPr="00F646C5">
        <w:rPr>
          <w:rFonts w:ascii="Calibri" w:hAnsi="Calibri" w:cs="Calibri"/>
          <w:i/>
          <w:iCs/>
          <w:sz w:val="20"/>
          <w:szCs w:val="20"/>
        </w:rPr>
        <w:t>Zakładamy, że utrzymująca się wysoka dynamika wydatków gospodarstw domowych w 2026 roku będzie nadal wspierać popyt na pojazdy lekkie w Polsce</w:t>
      </w:r>
      <w:r w:rsidR="005476F7" w:rsidRPr="00F646C5">
        <w:rPr>
          <w:rFonts w:ascii="Calibri" w:hAnsi="Calibri" w:cs="Calibri"/>
          <w:sz w:val="20"/>
          <w:szCs w:val="20"/>
        </w:rPr>
        <w:t xml:space="preserve"> – </w:t>
      </w:r>
      <w:r w:rsidR="00F646C5" w:rsidRPr="00F646C5">
        <w:rPr>
          <w:rFonts w:ascii="Calibri" w:hAnsi="Calibri" w:cs="Calibri"/>
          <w:sz w:val="20"/>
          <w:szCs w:val="20"/>
        </w:rPr>
        <w:t>mówi</w:t>
      </w:r>
      <w:r w:rsidR="005476F7" w:rsidRPr="00F646C5">
        <w:rPr>
          <w:rFonts w:ascii="Calibri" w:hAnsi="Calibri" w:cs="Calibri"/>
          <w:sz w:val="20"/>
          <w:szCs w:val="20"/>
        </w:rPr>
        <w:t xml:space="preserve"> </w:t>
      </w:r>
      <w:r w:rsidR="00F646C5" w:rsidRPr="00F646C5">
        <w:rPr>
          <w:rFonts w:ascii="Calibri" w:hAnsi="Calibri" w:cs="Calibri"/>
          <w:b/>
          <w:bCs/>
          <w:sz w:val="20"/>
          <w:szCs w:val="20"/>
        </w:rPr>
        <w:t>Marcin Nieplowicz</w:t>
      </w:r>
      <w:r w:rsidR="00F646C5" w:rsidRPr="00F646C5">
        <w:rPr>
          <w:rFonts w:ascii="Calibri" w:hAnsi="Calibri" w:cs="Calibri"/>
          <w:sz w:val="20"/>
          <w:szCs w:val="20"/>
        </w:rPr>
        <w:t>, główny ekonomista EFL i ZPL</w:t>
      </w:r>
      <w:r w:rsidR="005476F7" w:rsidRPr="00F646C5">
        <w:rPr>
          <w:rFonts w:ascii="Calibri" w:hAnsi="Calibri" w:cs="Calibri"/>
          <w:sz w:val="20"/>
          <w:szCs w:val="20"/>
        </w:rPr>
        <w:t>.</w:t>
      </w:r>
    </w:p>
    <w:p w14:paraId="49C866BD" w14:textId="2B516447" w:rsidR="00F67D79" w:rsidRPr="004507D3" w:rsidRDefault="00FA7B2D" w:rsidP="00743B2D">
      <w:pPr>
        <w:spacing w:before="240" w:after="240" w:line="276" w:lineRule="auto"/>
        <w:jc w:val="both"/>
        <w:rPr>
          <w:rFonts w:cstheme="minorHAnsi"/>
          <w:b/>
          <w:bCs/>
          <w:color w:val="0070C0"/>
        </w:rPr>
      </w:pPr>
      <w:r w:rsidRPr="004507D3">
        <w:rPr>
          <w:rFonts w:cstheme="minorHAnsi"/>
          <w:b/>
          <w:bCs/>
          <w:color w:val="0070C0"/>
        </w:rPr>
        <w:t>Ciężkie przyspieszają</w:t>
      </w:r>
    </w:p>
    <w:p w14:paraId="50FF8D1F" w14:textId="47BD2512" w:rsidR="005358EE" w:rsidRDefault="00743B2D" w:rsidP="00743B2D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861D0E">
        <w:rPr>
          <w:rFonts w:ascii="Calibri" w:hAnsi="Calibri" w:cs="Calibri"/>
          <w:sz w:val="20"/>
          <w:szCs w:val="20"/>
        </w:rPr>
        <w:t xml:space="preserve">Segment pojazdów ciężkich rozwijał się szybciej </w:t>
      </w:r>
      <w:r w:rsidR="00820C25" w:rsidRPr="00861D0E">
        <w:rPr>
          <w:rFonts w:ascii="Calibri" w:hAnsi="Calibri" w:cs="Calibri"/>
          <w:sz w:val="20"/>
          <w:szCs w:val="20"/>
        </w:rPr>
        <w:t xml:space="preserve">i widać tu wyraźne ożywienie </w:t>
      </w:r>
      <w:r w:rsidRPr="00861D0E">
        <w:rPr>
          <w:rFonts w:ascii="Calibri" w:hAnsi="Calibri" w:cs="Calibri"/>
          <w:sz w:val="20"/>
          <w:szCs w:val="20"/>
        </w:rPr>
        <w:t>– jego wartość wyniosła 5,</w:t>
      </w:r>
      <w:r w:rsidR="00E070A2" w:rsidRPr="00861D0E">
        <w:rPr>
          <w:rFonts w:ascii="Calibri" w:hAnsi="Calibri" w:cs="Calibri"/>
          <w:sz w:val="20"/>
          <w:szCs w:val="20"/>
        </w:rPr>
        <w:t>4</w:t>
      </w:r>
      <w:r w:rsidRPr="00861D0E">
        <w:rPr>
          <w:rFonts w:ascii="Calibri" w:hAnsi="Calibri" w:cs="Calibri"/>
          <w:sz w:val="20"/>
          <w:szCs w:val="20"/>
        </w:rPr>
        <w:t xml:space="preserve"> mld zł, co oznacza wzrost o 19</w:t>
      </w:r>
      <w:r w:rsidR="00E070A2" w:rsidRPr="00861D0E">
        <w:rPr>
          <w:rFonts w:ascii="Calibri" w:hAnsi="Calibri" w:cs="Calibri"/>
          <w:sz w:val="20"/>
          <w:szCs w:val="20"/>
        </w:rPr>
        <w:t xml:space="preserve"> </w:t>
      </w:r>
      <w:r w:rsidR="00A10ACD" w:rsidRPr="00861D0E">
        <w:rPr>
          <w:rFonts w:ascii="Calibri" w:hAnsi="Calibri" w:cs="Calibri"/>
          <w:sz w:val="20"/>
          <w:szCs w:val="20"/>
        </w:rPr>
        <w:t>proc.</w:t>
      </w:r>
      <w:r w:rsidRPr="00861D0E">
        <w:rPr>
          <w:rFonts w:ascii="Calibri" w:hAnsi="Calibri" w:cs="Calibri"/>
          <w:sz w:val="20"/>
          <w:szCs w:val="20"/>
        </w:rPr>
        <w:t xml:space="preserve"> r/r. </w:t>
      </w:r>
      <w:r w:rsidR="00A56F7E" w:rsidRPr="00861D0E">
        <w:rPr>
          <w:rFonts w:ascii="Calibri" w:hAnsi="Calibri" w:cs="Calibri"/>
          <w:sz w:val="20"/>
          <w:szCs w:val="20"/>
        </w:rPr>
        <w:t>To już drugi miesiąc</w:t>
      </w:r>
      <w:r w:rsidR="00A56F7E" w:rsidRPr="00A56F7E">
        <w:rPr>
          <w:rFonts w:ascii="Calibri" w:hAnsi="Calibri" w:cs="Calibri"/>
          <w:sz w:val="20"/>
          <w:szCs w:val="20"/>
        </w:rPr>
        <w:t xml:space="preserve"> z rzędu solidnych wzrostów – po 18,6% r/r w lutym, w marcu dynamika przyspieszyła do 32,0% r/r, po znacznie słabszym początku roku i końcówce 2025</w:t>
      </w:r>
      <w:r w:rsidR="00E21B4A">
        <w:rPr>
          <w:rFonts w:ascii="Calibri" w:hAnsi="Calibri" w:cs="Calibri"/>
          <w:sz w:val="20"/>
          <w:szCs w:val="20"/>
        </w:rPr>
        <w:t xml:space="preserve"> roku</w:t>
      </w:r>
      <w:r w:rsidR="00A56F7E" w:rsidRPr="00A56F7E">
        <w:rPr>
          <w:rFonts w:ascii="Calibri" w:hAnsi="Calibri" w:cs="Calibri"/>
          <w:sz w:val="20"/>
          <w:szCs w:val="20"/>
        </w:rPr>
        <w:t>.</w:t>
      </w:r>
      <w:r w:rsidR="00E21B4A">
        <w:rPr>
          <w:rFonts w:ascii="Calibri" w:hAnsi="Calibri" w:cs="Calibri"/>
          <w:sz w:val="20"/>
          <w:szCs w:val="20"/>
        </w:rPr>
        <w:t xml:space="preserve"> </w:t>
      </w:r>
      <w:r w:rsidR="00A56F7E" w:rsidRPr="00A56F7E">
        <w:rPr>
          <w:rFonts w:ascii="Calibri" w:hAnsi="Calibri" w:cs="Calibri"/>
          <w:sz w:val="20"/>
          <w:szCs w:val="20"/>
        </w:rPr>
        <w:t>Na szczególną uwagę zasługują ciągniki siodłowe, które kolejny miesiąc utrzymują bardzo wysoką dynamikę. Częściowo wynika to z efektu niskiej bazy, ale widoczny jest również pozytywny wpływ stabilizacji sytuacji gospodarczej w strefie euro. Jednocześnie obserwujemy spadki w finansowaniu naczep przy silnym wzroście w segmencie ciężarówek powyżej 3,5 tony, co wskazuje na większą rolę popytu krajowego.</w:t>
      </w:r>
      <w:r w:rsidR="0019410B">
        <w:rPr>
          <w:rFonts w:ascii="Calibri" w:hAnsi="Calibri" w:cs="Calibri"/>
          <w:sz w:val="20"/>
          <w:szCs w:val="20"/>
        </w:rPr>
        <w:t xml:space="preserve"> Jak podkreśla Marcin Nieplowicz, w </w:t>
      </w:r>
      <w:r w:rsidR="00A56F7E" w:rsidRPr="00A56F7E">
        <w:rPr>
          <w:rFonts w:ascii="Calibri" w:hAnsi="Calibri" w:cs="Calibri"/>
          <w:sz w:val="20"/>
          <w:szCs w:val="20"/>
        </w:rPr>
        <w:t xml:space="preserve"> kolejnych miesiącach wyniki segmentu będą w dużej mierze uzależnione od sytuacji geopolitycznej, w szczególności rozwoju wydarzeń na Bliskim Wschodzie</w:t>
      </w:r>
      <w:r w:rsidR="0019410B">
        <w:rPr>
          <w:rFonts w:ascii="Calibri" w:hAnsi="Calibri" w:cs="Calibri"/>
          <w:sz w:val="20"/>
          <w:szCs w:val="20"/>
        </w:rPr>
        <w:t>.</w:t>
      </w:r>
    </w:p>
    <w:p w14:paraId="11723DC0" w14:textId="3B7E69C1" w:rsidR="0049322D" w:rsidRPr="004507D3" w:rsidRDefault="0049322D" w:rsidP="00743B2D">
      <w:pPr>
        <w:spacing w:before="240" w:after="240" w:line="276" w:lineRule="auto"/>
        <w:jc w:val="both"/>
        <w:rPr>
          <w:rFonts w:cstheme="minorHAnsi"/>
          <w:b/>
          <w:bCs/>
          <w:color w:val="0070C0"/>
        </w:rPr>
      </w:pPr>
      <w:r w:rsidRPr="004507D3">
        <w:rPr>
          <w:rFonts w:cstheme="minorHAnsi"/>
          <w:b/>
          <w:bCs/>
          <w:color w:val="0070C0"/>
        </w:rPr>
        <w:t>Maszyny odbijają</w:t>
      </w:r>
    </w:p>
    <w:p w14:paraId="60985AF9" w14:textId="43799E6F" w:rsidR="00331B7F" w:rsidRPr="00331B7F" w:rsidRDefault="00743B2D" w:rsidP="00331B7F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5470A0">
        <w:rPr>
          <w:rFonts w:ascii="Calibri" w:hAnsi="Calibri" w:cs="Calibri"/>
          <w:sz w:val="20"/>
          <w:szCs w:val="20"/>
        </w:rPr>
        <w:t>Drugim co do wielkości segmentem</w:t>
      </w:r>
      <w:r w:rsidR="0049322D">
        <w:rPr>
          <w:rFonts w:ascii="Calibri" w:hAnsi="Calibri" w:cs="Calibri"/>
          <w:sz w:val="20"/>
          <w:szCs w:val="20"/>
        </w:rPr>
        <w:t xml:space="preserve"> po pojazdach</w:t>
      </w:r>
      <w:r w:rsidRPr="005470A0">
        <w:rPr>
          <w:rFonts w:ascii="Calibri" w:hAnsi="Calibri" w:cs="Calibri"/>
          <w:sz w:val="20"/>
          <w:szCs w:val="20"/>
        </w:rPr>
        <w:t xml:space="preserve"> pozostają maszyny i urządzenia, których finansowanie osiągnęło wartość 6,</w:t>
      </w:r>
      <w:r w:rsidR="00CD57AD" w:rsidRPr="005470A0">
        <w:rPr>
          <w:rFonts w:ascii="Calibri" w:hAnsi="Calibri" w:cs="Calibri"/>
          <w:sz w:val="20"/>
          <w:szCs w:val="20"/>
        </w:rPr>
        <w:t>4</w:t>
      </w:r>
      <w:r w:rsidRPr="005470A0">
        <w:rPr>
          <w:rFonts w:ascii="Calibri" w:hAnsi="Calibri" w:cs="Calibri"/>
          <w:sz w:val="20"/>
          <w:szCs w:val="20"/>
        </w:rPr>
        <w:t xml:space="preserve"> mld zł (</w:t>
      </w:r>
      <w:r w:rsidR="005470A0" w:rsidRPr="005470A0">
        <w:rPr>
          <w:rFonts w:ascii="Calibri" w:hAnsi="Calibri" w:cs="Calibri"/>
          <w:sz w:val="20"/>
          <w:szCs w:val="20"/>
        </w:rPr>
        <w:t xml:space="preserve">22,3 </w:t>
      </w:r>
      <w:r w:rsidR="00A10ACD" w:rsidRPr="005470A0">
        <w:rPr>
          <w:rFonts w:ascii="Calibri" w:hAnsi="Calibri" w:cs="Calibri"/>
          <w:sz w:val="20"/>
          <w:szCs w:val="20"/>
        </w:rPr>
        <w:t>proc.</w:t>
      </w:r>
      <w:r w:rsidRPr="005470A0">
        <w:rPr>
          <w:rFonts w:ascii="Calibri" w:hAnsi="Calibri" w:cs="Calibri"/>
          <w:sz w:val="20"/>
          <w:szCs w:val="20"/>
        </w:rPr>
        <w:t xml:space="preserve"> udziału w rynku), przy wzroście o 8,8</w:t>
      </w:r>
      <w:r w:rsidR="00A10ACD" w:rsidRPr="005470A0">
        <w:rPr>
          <w:rFonts w:ascii="Calibri" w:hAnsi="Calibri" w:cs="Calibri"/>
          <w:sz w:val="20"/>
          <w:szCs w:val="20"/>
        </w:rPr>
        <w:t xml:space="preserve"> proc.</w:t>
      </w:r>
      <w:r w:rsidRPr="005470A0">
        <w:rPr>
          <w:rFonts w:ascii="Calibri" w:hAnsi="Calibri" w:cs="Calibri"/>
          <w:sz w:val="20"/>
          <w:szCs w:val="20"/>
        </w:rPr>
        <w:t xml:space="preserve"> r/r. </w:t>
      </w:r>
      <w:r w:rsidR="00331B7F" w:rsidRPr="005470A0">
        <w:rPr>
          <w:rFonts w:ascii="Calibri" w:hAnsi="Calibri" w:cs="Calibri"/>
          <w:sz w:val="20"/>
          <w:szCs w:val="20"/>
        </w:rPr>
        <w:t xml:space="preserve">Segment </w:t>
      </w:r>
      <w:r w:rsidR="00640C86" w:rsidRPr="005470A0">
        <w:rPr>
          <w:rFonts w:ascii="Calibri" w:hAnsi="Calibri" w:cs="Calibri"/>
          <w:sz w:val="20"/>
          <w:szCs w:val="20"/>
        </w:rPr>
        <w:t>ten</w:t>
      </w:r>
      <w:r w:rsidR="00331B7F" w:rsidRPr="005470A0">
        <w:rPr>
          <w:rFonts w:ascii="Calibri" w:hAnsi="Calibri" w:cs="Calibri"/>
          <w:sz w:val="20"/>
          <w:szCs w:val="20"/>
        </w:rPr>
        <w:t xml:space="preserve"> odnotował wyraźne ożywienie w marcu 2026 roku, z istotnym wzrostem</w:t>
      </w:r>
      <w:r w:rsidR="00331B7F" w:rsidRPr="00331B7F">
        <w:rPr>
          <w:rFonts w:ascii="Calibri" w:hAnsi="Calibri" w:cs="Calibri"/>
          <w:sz w:val="20"/>
          <w:szCs w:val="20"/>
        </w:rPr>
        <w:t xml:space="preserve"> rok do roku, po wcześniejszych spadkach obserwowanych na początku roku oraz umiarkowanej dynamice w końcówce 2025.</w:t>
      </w:r>
    </w:p>
    <w:p w14:paraId="6B91C83F" w14:textId="3D8ED9BA" w:rsidR="00331B7F" w:rsidRDefault="00640C86" w:rsidP="00331B7F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- </w:t>
      </w:r>
      <w:r w:rsidR="00331B7F" w:rsidRPr="00D90D81">
        <w:rPr>
          <w:rFonts w:ascii="Calibri" w:hAnsi="Calibri" w:cs="Calibri"/>
          <w:i/>
          <w:iCs/>
          <w:sz w:val="20"/>
          <w:szCs w:val="20"/>
        </w:rPr>
        <w:t xml:space="preserve">Do lutego widoczne były wyraźne spadki w finansowaniu sprzętu budowlanego i maszyn rolniczych, natomiast marzec przyniósł odwrócenie tego trendu – dodatnie wyniki w segmencie </w:t>
      </w:r>
      <w:proofErr w:type="spellStart"/>
      <w:r w:rsidR="00331B7F" w:rsidRPr="00D90D81">
        <w:rPr>
          <w:rFonts w:ascii="Calibri" w:hAnsi="Calibri" w:cs="Calibri"/>
          <w:i/>
          <w:iCs/>
          <w:sz w:val="20"/>
          <w:szCs w:val="20"/>
        </w:rPr>
        <w:t>agro</w:t>
      </w:r>
      <w:proofErr w:type="spellEnd"/>
      <w:r w:rsidR="00331B7F" w:rsidRPr="00D90D81">
        <w:rPr>
          <w:rFonts w:ascii="Calibri" w:hAnsi="Calibri" w:cs="Calibri"/>
          <w:i/>
          <w:iCs/>
          <w:sz w:val="20"/>
          <w:szCs w:val="20"/>
        </w:rPr>
        <w:t xml:space="preserve"> oraz bardzo silne wzrosty w obszarze maszyn budowlanych i pozostałych maszyn. Wzrosty te były w dużej mierze napędzane finansowaniem pożyczką, przy bardziej umiarkowanej dynamice leasingu.</w:t>
      </w:r>
      <w:r w:rsidRPr="00D90D81">
        <w:rPr>
          <w:rFonts w:ascii="Calibri" w:hAnsi="Calibri" w:cs="Calibri"/>
          <w:i/>
          <w:iCs/>
          <w:sz w:val="20"/>
          <w:szCs w:val="20"/>
        </w:rPr>
        <w:t xml:space="preserve"> </w:t>
      </w:r>
      <w:r w:rsidR="00331B7F" w:rsidRPr="00D90D81">
        <w:rPr>
          <w:rFonts w:ascii="Calibri" w:hAnsi="Calibri" w:cs="Calibri"/>
          <w:i/>
          <w:iCs/>
          <w:sz w:val="20"/>
          <w:szCs w:val="20"/>
        </w:rPr>
        <w:t>Spadki w finansowaniu maszyn rolniczych w ujęciu kwartalnym są efektem pogorszenia koniunktury wśród gospodarstw rolniczych, w szczególności niższych ocen dochodowości działalności, a także wysokiej bazy z ubiegłego roku</w:t>
      </w:r>
      <w:r w:rsidR="00331B7F" w:rsidRPr="00331B7F">
        <w:rPr>
          <w:rFonts w:ascii="Calibri" w:hAnsi="Calibri" w:cs="Calibri"/>
          <w:sz w:val="20"/>
          <w:szCs w:val="20"/>
        </w:rPr>
        <w:t xml:space="preserve"> – komentuje </w:t>
      </w:r>
      <w:r w:rsidR="00126D7E" w:rsidRPr="00D90D81">
        <w:rPr>
          <w:rFonts w:ascii="Calibri" w:hAnsi="Calibri" w:cs="Calibri"/>
          <w:b/>
          <w:bCs/>
          <w:sz w:val="20"/>
          <w:szCs w:val="20"/>
        </w:rPr>
        <w:t>Marcin Nieplowicz</w:t>
      </w:r>
      <w:r w:rsidR="00126D7E">
        <w:rPr>
          <w:rFonts w:ascii="Calibri" w:hAnsi="Calibri" w:cs="Calibri"/>
          <w:sz w:val="20"/>
          <w:szCs w:val="20"/>
        </w:rPr>
        <w:t xml:space="preserve">. </w:t>
      </w:r>
    </w:p>
    <w:p w14:paraId="0ADCAC3C" w14:textId="77777777" w:rsidR="002113D3" w:rsidRPr="00097119" w:rsidRDefault="002113D3" w:rsidP="002113D3">
      <w:pPr>
        <w:spacing w:before="240" w:after="240" w:line="276" w:lineRule="auto"/>
        <w:jc w:val="both"/>
        <w:rPr>
          <w:rFonts w:ascii="Calibri" w:hAnsi="Calibri" w:cs="Calibri"/>
          <w:b/>
          <w:bCs/>
          <w:sz w:val="20"/>
          <w:szCs w:val="20"/>
        </w:rPr>
      </w:pPr>
      <w:r w:rsidRPr="00097119">
        <w:rPr>
          <w:rFonts w:ascii="Calibri" w:hAnsi="Calibri" w:cs="Calibri"/>
          <w:b/>
          <w:bCs/>
          <w:sz w:val="20"/>
          <w:szCs w:val="20"/>
        </w:rPr>
        <w:t>Finansowanie w podziale na aktywa:</w:t>
      </w:r>
    </w:p>
    <w:p w14:paraId="4EC83451" w14:textId="20BF5497" w:rsidR="002113D3" w:rsidRPr="00210202" w:rsidRDefault="002113D3" w:rsidP="00210202">
      <w:pPr>
        <w:pStyle w:val="Akapitzlist"/>
        <w:numPr>
          <w:ilvl w:val="0"/>
          <w:numId w:val="34"/>
        </w:num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210202">
        <w:rPr>
          <w:rFonts w:ascii="Calibri" w:hAnsi="Calibri" w:cs="Calibri"/>
          <w:sz w:val="20"/>
          <w:szCs w:val="20"/>
        </w:rPr>
        <w:t>Pojazdy – 22,1 mld zł (wzrost o 12,1 proc. r/r), w tym:</w:t>
      </w:r>
    </w:p>
    <w:p w14:paraId="718BDBF1" w14:textId="7FB72112" w:rsidR="002113D3" w:rsidRPr="00210202" w:rsidRDefault="002113D3" w:rsidP="00210202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210202">
        <w:rPr>
          <w:rFonts w:ascii="Calibri" w:hAnsi="Calibri" w:cs="Calibri"/>
          <w:sz w:val="20"/>
          <w:szCs w:val="20"/>
        </w:rPr>
        <w:lastRenderedPageBreak/>
        <w:t xml:space="preserve">pojazdy lekkie – </w:t>
      </w:r>
      <w:r w:rsidR="00F67F57" w:rsidRPr="00210202">
        <w:rPr>
          <w:rFonts w:ascii="Calibri" w:hAnsi="Calibri" w:cs="Calibri"/>
          <w:sz w:val="20"/>
          <w:szCs w:val="20"/>
        </w:rPr>
        <w:t>16,5</w:t>
      </w:r>
      <w:r w:rsidRPr="00210202">
        <w:rPr>
          <w:rFonts w:ascii="Calibri" w:hAnsi="Calibri" w:cs="Calibri"/>
          <w:sz w:val="20"/>
          <w:szCs w:val="20"/>
        </w:rPr>
        <w:t xml:space="preserve"> mld zł (wzrost o </w:t>
      </w:r>
      <w:r w:rsidR="00F67F57" w:rsidRPr="00210202">
        <w:rPr>
          <w:rFonts w:ascii="Calibri" w:hAnsi="Calibri" w:cs="Calibri"/>
          <w:sz w:val="20"/>
          <w:szCs w:val="20"/>
        </w:rPr>
        <w:t>10</w:t>
      </w:r>
      <w:r w:rsidRPr="00210202">
        <w:rPr>
          <w:rFonts w:ascii="Calibri" w:hAnsi="Calibri" w:cs="Calibri"/>
          <w:sz w:val="20"/>
          <w:szCs w:val="20"/>
        </w:rPr>
        <w:t>,</w:t>
      </w:r>
      <w:r w:rsidR="00F67F57" w:rsidRPr="00210202">
        <w:rPr>
          <w:rFonts w:ascii="Calibri" w:hAnsi="Calibri" w:cs="Calibri"/>
          <w:sz w:val="20"/>
          <w:szCs w:val="20"/>
        </w:rPr>
        <w:t>1</w:t>
      </w:r>
      <w:r w:rsidRPr="00210202">
        <w:rPr>
          <w:rFonts w:ascii="Calibri" w:hAnsi="Calibri" w:cs="Calibri"/>
          <w:sz w:val="20"/>
          <w:szCs w:val="20"/>
        </w:rPr>
        <w:t xml:space="preserve"> proc. r/r)</w:t>
      </w:r>
    </w:p>
    <w:p w14:paraId="1D81A88F" w14:textId="79C51BA5" w:rsidR="002113D3" w:rsidRPr="00210202" w:rsidRDefault="002113D3" w:rsidP="00210202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210202">
        <w:rPr>
          <w:rFonts w:ascii="Calibri" w:hAnsi="Calibri" w:cs="Calibri"/>
          <w:sz w:val="20"/>
          <w:szCs w:val="20"/>
        </w:rPr>
        <w:t xml:space="preserve">pojazdy ciężkie – </w:t>
      </w:r>
      <w:r w:rsidR="00305E62" w:rsidRPr="00210202">
        <w:rPr>
          <w:rFonts w:ascii="Calibri" w:hAnsi="Calibri" w:cs="Calibri"/>
          <w:sz w:val="20"/>
          <w:szCs w:val="20"/>
        </w:rPr>
        <w:t>5,4</w:t>
      </w:r>
      <w:r w:rsidRPr="00210202">
        <w:rPr>
          <w:rFonts w:ascii="Calibri" w:hAnsi="Calibri" w:cs="Calibri"/>
          <w:sz w:val="20"/>
          <w:szCs w:val="20"/>
        </w:rPr>
        <w:t xml:space="preserve"> mld zł (wzrost o </w:t>
      </w:r>
      <w:r w:rsidR="00305E62" w:rsidRPr="00210202">
        <w:rPr>
          <w:rFonts w:ascii="Calibri" w:hAnsi="Calibri" w:cs="Calibri"/>
          <w:sz w:val="20"/>
          <w:szCs w:val="20"/>
        </w:rPr>
        <w:t>19,0</w:t>
      </w:r>
      <w:r w:rsidRPr="00210202">
        <w:rPr>
          <w:rFonts w:ascii="Calibri" w:hAnsi="Calibri" w:cs="Calibri"/>
          <w:sz w:val="20"/>
          <w:szCs w:val="20"/>
        </w:rPr>
        <w:t xml:space="preserve"> proc. r/r)</w:t>
      </w:r>
    </w:p>
    <w:p w14:paraId="122C411B" w14:textId="07C61F12" w:rsidR="002113D3" w:rsidRPr="00210202" w:rsidRDefault="002113D3" w:rsidP="00210202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210202">
        <w:rPr>
          <w:rFonts w:ascii="Calibri" w:hAnsi="Calibri" w:cs="Calibri"/>
          <w:sz w:val="20"/>
          <w:szCs w:val="20"/>
        </w:rPr>
        <w:t xml:space="preserve">inne pojazdy – </w:t>
      </w:r>
      <w:r w:rsidR="00305E62" w:rsidRPr="00210202">
        <w:rPr>
          <w:rFonts w:ascii="Calibri" w:hAnsi="Calibri" w:cs="Calibri"/>
          <w:sz w:val="20"/>
          <w:szCs w:val="20"/>
        </w:rPr>
        <w:t>0,2</w:t>
      </w:r>
      <w:r w:rsidRPr="00210202">
        <w:rPr>
          <w:rFonts w:ascii="Calibri" w:hAnsi="Calibri" w:cs="Calibri"/>
          <w:sz w:val="20"/>
          <w:szCs w:val="20"/>
        </w:rPr>
        <w:t xml:space="preserve"> mld zł (wzrost o </w:t>
      </w:r>
      <w:r w:rsidR="00305E62" w:rsidRPr="00210202">
        <w:rPr>
          <w:rFonts w:ascii="Calibri" w:hAnsi="Calibri" w:cs="Calibri"/>
          <w:sz w:val="20"/>
          <w:szCs w:val="20"/>
        </w:rPr>
        <w:t>5</w:t>
      </w:r>
      <w:r w:rsidRPr="00210202">
        <w:rPr>
          <w:rFonts w:ascii="Calibri" w:hAnsi="Calibri" w:cs="Calibri"/>
          <w:sz w:val="20"/>
          <w:szCs w:val="20"/>
        </w:rPr>
        <w:t>,9 proc. r/r)</w:t>
      </w:r>
    </w:p>
    <w:p w14:paraId="46CA6367" w14:textId="58AF8608" w:rsidR="002113D3" w:rsidRPr="00210202" w:rsidRDefault="002113D3" w:rsidP="00210202">
      <w:pPr>
        <w:pStyle w:val="Akapitzlist"/>
        <w:numPr>
          <w:ilvl w:val="0"/>
          <w:numId w:val="34"/>
        </w:num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210202">
        <w:rPr>
          <w:rFonts w:ascii="Calibri" w:hAnsi="Calibri" w:cs="Calibri"/>
          <w:sz w:val="20"/>
          <w:szCs w:val="20"/>
        </w:rPr>
        <w:t xml:space="preserve">Maszyny i urządzenia – </w:t>
      </w:r>
      <w:r w:rsidR="00E74A7F" w:rsidRPr="00210202">
        <w:rPr>
          <w:rFonts w:ascii="Calibri" w:hAnsi="Calibri" w:cs="Calibri"/>
          <w:sz w:val="20"/>
          <w:szCs w:val="20"/>
        </w:rPr>
        <w:t>6,4</w:t>
      </w:r>
      <w:r w:rsidRPr="00210202">
        <w:rPr>
          <w:rFonts w:ascii="Calibri" w:hAnsi="Calibri" w:cs="Calibri"/>
          <w:sz w:val="20"/>
          <w:szCs w:val="20"/>
        </w:rPr>
        <w:t xml:space="preserve"> mld zł (wzrost o </w:t>
      </w:r>
      <w:r w:rsidR="00E74A7F" w:rsidRPr="00210202">
        <w:rPr>
          <w:rFonts w:ascii="Calibri" w:hAnsi="Calibri" w:cs="Calibri"/>
          <w:sz w:val="20"/>
          <w:szCs w:val="20"/>
        </w:rPr>
        <w:t>8,8</w:t>
      </w:r>
      <w:r w:rsidRPr="00210202">
        <w:rPr>
          <w:rFonts w:ascii="Calibri" w:hAnsi="Calibri" w:cs="Calibri"/>
          <w:sz w:val="20"/>
          <w:szCs w:val="20"/>
        </w:rPr>
        <w:t xml:space="preserve"> proc. r/r)</w:t>
      </w:r>
    </w:p>
    <w:p w14:paraId="5D5441E7" w14:textId="3A001E12" w:rsidR="002113D3" w:rsidRPr="00210202" w:rsidRDefault="002113D3" w:rsidP="00210202">
      <w:pPr>
        <w:pStyle w:val="Akapitzlist"/>
        <w:numPr>
          <w:ilvl w:val="0"/>
          <w:numId w:val="34"/>
        </w:num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210202">
        <w:rPr>
          <w:rFonts w:ascii="Calibri" w:hAnsi="Calibri" w:cs="Calibri"/>
          <w:sz w:val="20"/>
          <w:szCs w:val="20"/>
        </w:rPr>
        <w:t xml:space="preserve">Pozostałe ruchomości – </w:t>
      </w:r>
      <w:r w:rsidR="00916EB2" w:rsidRPr="00210202">
        <w:rPr>
          <w:rFonts w:ascii="Calibri" w:hAnsi="Calibri" w:cs="Calibri"/>
          <w:sz w:val="20"/>
          <w:szCs w:val="20"/>
        </w:rPr>
        <w:t xml:space="preserve">0,7 </w:t>
      </w:r>
      <w:r w:rsidRPr="00210202">
        <w:rPr>
          <w:rFonts w:ascii="Calibri" w:hAnsi="Calibri" w:cs="Calibri"/>
          <w:sz w:val="20"/>
          <w:szCs w:val="20"/>
        </w:rPr>
        <w:t xml:space="preserve">mld zł (wzrost o </w:t>
      </w:r>
      <w:r w:rsidR="00821FA8" w:rsidRPr="00210202">
        <w:rPr>
          <w:rFonts w:ascii="Calibri" w:hAnsi="Calibri" w:cs="Calibri"/>
          <w:sz w:val="20"/>
          <w:szCs w:val="20"/>
        </w:rPr>
        <w:t xml:space="preserve">9,1 </w:t>
      </w:r>
      <w:r w:rsidRPr="00210202">
        <w:rPr>
          <w:rFonts w:ascii="Calibri" w:hAnsi="Calibri" w:cs="Calibri"/>
          <w:sz w:val="20"/>
          <w:szCs w:val="20"/>
        </w:rPr>
        <w:t>proc. r/r)</w:t>
      </w:r>
    </w:p>
    <w:p w14:paraId="5A7AE758" w14:textId="424DB352" w:rsidR="002113D3" w:rsidRPr="00210202" w:rsidRDefault="002113D3" w:rsidP="00210202">
      <w:pPr>
        <w:pStyle w:val="Akapitzlist"/>
        <w:numPr>
          <w:ilvl w:val="0"/>
          <w:numId w:val="34"/>
        </w:num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210202">
        <w:rPr>
          <w:rFonts w:ascii="Calibri" w:hAnsi="Calibri" w:cs="Calibri"/>
          <w:sz w:val="20"/>
          <w:szCs w:val="20"/>
        </w:rPr>
        <w:t xml:space="preserve">Nieruchomości – </w:t>
      </w:r>
      <w:r w:rsidR="00DD1BDB" w:rsidRPr="00210202">
        <w:rPr>
          <w:rFonts w:ascii="Calibri" w:hAnsi="Calibri" w:cs="Calibri"/>
          <w:sz w:val="20"/>
          <w:szCs w:val="20"/>
        </w:rPr>
        <w:t>0,01</w:t>
      </w:r>
      <w:r w:rsidRPr="00210202">
        <w:rPr>
          <w:rFonts w:ascii="Calibri" w:hAnsi="Calibri" w:cs="Calibri"/>
          <w:sz w:val="20"/>
          <w:szCs w:val="20"/>
        </w:rPr>
        <w:t xml:space="preserve"> mld zł (</w:t>
      </w:r>
      <w:r w:rsidR="00DD1BDB" w:rsidRPr="00210202">
        <w:rPr>
          <w:rFonts w:ascii="Calibri" w:hAnsi="Calibri" w:cs="Calibri"/>
          <w:sz w:val="20"/>
          <w:szCs w:val="20"/>
        </w:rPr>
        <w:t xml:space="preserve">spadek </w:t>
      </w:r>
      <w:r w:rsidRPr="00210202">
        <w:rPr>
          <w:rFonts w:ascii="Calibri" w:hAnsi="Calibri" w:cs="Calibri"/>
          <w:sz w:val="20"/>
          <w:szCs w:val="20"/>
        </w:rPr>
        <w:t xml:space="preserve">o </w:t>
      </w:r>
      <w:r w:rsidR="00DD1BDB" w:rsidRPr="00210202">
        <w:rPr>
          <w:rFonts w:ascii="Calibri" w:hAnsi="Calibri" w:cs="Calibri"/>
          <w:sz w:val="20"/>
          <w:szCs w:val="20"/>
        </w:rPr>
        <w:t>9</w:t>
      </w:r>
      <w:r w:rsidR="00097119" w:rsidRPr="00210202">
        <w:rPr>
          <w:rFonts w:ascii="Calibri" w:hAnsi="Calibri" w:cs="Calibri"/>
          <w:sz w:val="20"/>
          <w:szCs w:val="20"/>
        </w:rPr>
        <w:t>1,9</w:t>
      </w:r>
      <w:r w:rsidRPr="00210202">
        <w:rPr>
          <w:rFonts w:ascii="Calibri" w:hAnsi="Calibri" w:cs="Calibri"/>
          <w:sz w:val="20"/>
          <w:szCs w:val="20"/>
        </w:rPr>
        <w:t xml:space="preserve"> proc. r/r/)</w:t>
      </w:r>
    </w:p>
    <w:p w14:paraId="7DF7B889" w14:textId="040BD107" w:rsidR="0049322D" w:rsidRPr="004507D3" w:rsidRDefault="004507D3" w:rsidP="00743B2D">
      <w:pPr>
        <w:spacing w:before="240" w:after="240" w:line="276" w:lineRule="auto"/>
        <w:jc w:val="both"/>
        <w:rPr>
          <w:rFonts w:cstheme="minorHAnsi"/>
          <w:b/>
          <w:bCs/>
          <w:color w:val="0070C0"/>
        </w:rPr>
      </w:pPr>
      <w:r w:rsidRPr="004507D3">
        <w:rPr>
          <w:rFonts w:cstheme="minorHAnsi"/>
          <w:b/>
          <w:bCs/>
          <w:color w:val="0070C0"/>
        </w:rPr>
        <w:t>Prognozy 2026</w:t>
      </w:r>
    </w:p>
    <w:p w14:paraId="23987100" w14:textId="2BBFF3C6" w:rsidR="00F64B79" w:rsidRDefault="00BE794F" w:rsidP="00743B2D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 w:rsidRPr="00BE794F">
        <w:rPr>
          <w:rFonts w:ascii="Calibri" w:hAnsi="Calibri" w:cs="Calibri"/>
          <w:sz w:val="20"/>
          <w:szCs w:val="20"/>
        </w:rPr>
        <w:t>Związek Polskiego Leasingu szacuje, że w 2026 roku wartość inwestycji sfinansowanych przez branżę leasingową może osiągnąć poziom 129,7 mld zł, co oznaczałoby wzrost o około 9% rok do roku. Prognoza zakłada utrzymanie stabilnej aktywności inwestycyjnej przedsiębiorstw oraz dalszą istotną rolę leasingu jako narzędzia finansowania rozwoju polskiej gospodarki.</w:t>
      </w:r>
      <w:r>
        <w:rPr>
          <w:rFonts w:ascii="Calibri" w:hAnsi="Calibri" w:cs="Calibri"/>
          <w:sz w:val="20"/>
          <w:szCs w:val="20"/>
        </w:rPr>
        <w:t xml:space="preserve"> </w:t>
      </w:r>
      <w:r w:rsidRPr="00BE794F">
        <w:rPr>
          <w:rFonts w:ascii="Calibri" w:hAnsi="Calibri" w:cs="Calibri"/>
          <w:sz w:val="20"/>
          <w:szCs w:val="20"/>
        </w:rPr>
        <w:t xml:space="preserve">Według ZPL, 2026 rok powinien być okresem wzmożonych inwestycji, czemu sprzyjać będzie kumulacja </w:t>
      </w:r>
      <w:r w:rsidR="004B1503">
        <w:rPr>
          <w:rFonts w:ascii="Calibri" w:hAnsi="Calibri" w:cs="Calibri"/>
          <w:sz w:val="20"/>
          <w:szCs w:val="20"/>
        </w:rPr>
        <w:t>pieniędzy</w:t>
      </w:r>
      <w:r w:rsidRPr="00BE794F">
        <w:rPr>
          <w:rFonts w:ascii="Calibri" w:hAnsi="Calibri" w:cs="Calibri"/>
          <w:sz w:val="20"/>
          <w:szCs w:val="20"/>
        </w:rPr>
        <w:t xml:space="preserve"> unijnych z Krajowego Planu Odbudowy oraz perspektywy finansowej na lata 2021–2027. Szacuje się, że wydatki inwestycyjne finansowane z funduszy UE mogą wynieść około 182 mld zł, wobec około 63 mld zł w 2025 roku. Tak znaczący wzrost ma stanowić silny impuls dla inwestycji prywatnych, w tym sektora MŚP, co w konsekwencji powinno pozytywnie wpłynąć na rozwój rynku leasingu.</w:t>
      </w:r>
    </w:p>
    <w:p w14:paraId="64345D16" w14:textId="18CD3D6A" w:rsidR="00605462" w:rsidRDefault="00F5185B" w:rsidP="005E6FF1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- </w:t>
      </w:r>
      <w:r w:rsidRPr="00B340AE">
        <w:rPr>
          <w:rFonts w:ascii="Calibri" w:hAnsi="Calibri" w:cs="Calibri"/>
          <w:i/>
          <w:iCs/>
          <w:sz w:val="20"/>
          <w:szCs w:val="20"/>
        </w:rPr>
        <w:t>Po</w:t>
      </w:r>
      <w:r w:rsidR="005B749B" w:rsidRPr="00B340AE">
        <w:rPr>
          <w:rFonts w:ascii="Calibri" w:hAnsi="Calibri" w:cs="Calibri"/>
          <w:i/>
          <w:iCs/>
          <w:sz w:val="20"/>
          <w:szCs w:val="20"/>
        </w:rPr>
        <w:t xml:space="preserve"> umiarkowanych wynikach na początku 2026 roku, w marcu obserwowaliśmy wyraźne przyspieszenie dynamiki</w:t>
      </w:r>
      <w:r w:rsidRPr="00B340AE">
        <w:rPr>
          <w:rFonts w:ascii="Calibri" w:hAnsi="Calibri" w:cs="Calibri"/>
          <w:i/>
          <w:iCs/>
          <w:sz w:val="20"/>
          <w:szCs w:val="20"/>
        </w:rPr>
        <w:t xml:space="preserve">. </w:t>
      </w:r>
      <w:r w:rsidR="005B749B" w:rsidRPr="00B340AE">
        <w:rPr>
          <w:rFonts w:ascii="Calibri" w:hAnsi="Calibri" w:cs="Calibri"/>
          <w:i/>
          <w:iCs/>
          <w:sz w:val="20"/>
          <w:szCs w:val="20"/>
        </w:rPr>
        <w:t>To częściowo efekt odreagowania po słabszych miesiącach, na które wpływ miały m.in. warunki pogodowe oraz układ kalendarza, ale także sygnał rosnącego popytu inwestycyjnego, szczególnie wśród większych przedsiębiorstw.</w:t>
      </w:r>
      <w:r w:rsidR="00B340AE" w:rsidRPr="00B340AE">
        <w:rPr>
          <w:rFonts w:ascii="Calibri" w:hAnsi="Calibri" w:cs="Calibri"/>
          <w:i/>
          <w:iCs/>
          <w:sz w:val="20"/>
          <w:szCs w:val="20"/>
        </w:rPr>
        <w:t xml:space="preserve"> </w:t>
      </w:r>
      <w:r w:rsidR="005B749B" w:rsidRPr="00B340AE">
        <w:rPr>
          <w:rFonts w:ascii="Calibri" w:hAnsi="Calibri" w:cs="Calibri"/>
          <w:i/>
          <w:iCs/>
          <w:sz w:val="20"/>
          <w:szCs w:val="20"/>
        </w:rPr>
        <w:t xml:space="preserve">W kolejnych kwartałach oczekujemy, że silny popyt konsumpcyjny, uruchamianie </w:t>
      </w:r>
      <w:r w:rsidR="00B340AE" w:rsidRPr="00B340AE">
        <w:rPr>
          <w:rFonts w:ascii="Calibri" w:hAnsi="Calibri" w:cs="Calibri"/>
          <w:i/>
          <w:iCs/>
          <w:sz w:val="20"/>
          <w:szCs w:val="20"/>
        </w:rPr>
        <w:t>pieniędzy</w:t>
      </w:r>
      <w:r w:rsidR="005B749B" w:rsidRPr="00B340AE">
        <w:rPr>
          <w:rFonts w:ascii="Calibri" w:hAnsi="Calibri" w:cs="Calibri"/>
          <w:i/>
          <w:iCs/>
          <w:sz w:val="20"/>
          <w:szCs w:val="20"/>
        </w:rPr>
        <w:t xml:space="preserve"> unijnych oraz stopniowa poprawa eksportu będą wspierały wyraźniejszy wzrost finansowania </w:t>
      </w:r>
      <w:r w:rsidR="00131CD0">
        <w:rPr>
          <w:rFonts w:ascii="Calibri" w:hAnsi="Calibri" w:cs="Calibri"/>
          <w:i/>
          <w:iCs/>
          <w:sz w:val="20"/>
          <w:szCs w:val="20"/>
        </w:rPr>
        <w:t>inwestycji firm</w:t>
      </w:r>
      <w:r w:rsidR="005B749B" w:rsidRPr="00B340AE">
        <w:rPr>
          <w:rFonts w:ascii="Calibri" w:hAnsi="Calibri" w:cs="Calibri"/>
          <w:i/>
          <w:iCs/>
          <w:sz w:val="20"/>
          <w:szCs w:val="20"/>
        </w:rPr>
        <w:t xml:space="preserve"> przez branżę leasingową w 2026 roku</w:t>
      </w:r>
      <w:r w:rsidR="005B749B" w:rsidRPr="005B749B">
        <w:rPr>
          <w:rFonts w:ascii="Calibri" w:hAnsi="Calibri" w:cs="Calibri"/>
          <w:sz w:val="20"/>
          <w:szCs w:val="20"/>
        </w:rPr>
        <w:t xml:space="preserve"> – komentuje </w:t>
      </w:r>
      <w:r w:rsidR="005B749B" w:rsidRPr="00B340AE">
        <w:rPr>
          <w:rFonts w:ascii="Calibri" w:hAnsi="Calibri" w:cs="Calibri"/>
          <w:b/>
          <w:bCs/>
          <w:sz w:val="20"/>
          <w:szCs w:val="20"/>
        </w:rPr>
        <w:t>Monika Constant</w:t>
      </w:r>
      <w:r w:rsidR="005B749B" w:rsidRPr="005B749B">
        <w:rPr>
          <w:rFonts w:ascii="Calibri" w:hAnsi="Calibri" w:cs="Calibri"/>
          <w:sz w:val="20"/>
          <w:szCs w:val="20"/>
        </w:rPr>
        <w:t>, prezeska Związku Polskiego Leasingu.</w:t>
      </w:r>
    </w:p>
    <w:p w14:paraId="0D380453" w14:textId="11A6E7B7" w:rsidR="004507D3" w:rsidRDefault="00657786" w:rsidP="005E6FF1">
      <w:pPr>
        <w:spacing w:before="240" w:after="240"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  <w:sz w:val="20"/>
          <w:szCs w:val="20"/>
        </w:rPr>
        <w:lastRenderedPageBreak/>
        <w:drawing>
          <wp:inline distT="0" distB="0" distL="0" distR="0" wp14:anchorId="4B1415BF" wp14:editId="54FCF795">
            <wp:extent cx="5759450" cy="3676650"/>
            <wp:effectExtent l="0" t="0" r="0" b="0"/>
            <wp:docPr id="378288727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288727" name="Obraz 378288727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12F1C0" w14:textId="6EC2F75A" w:rsidR="004503EC" w:rsidRPr="0007320F" w:rsidRDefault="00000000" w:rsidP="005E6FF1">
      <w:pPr>
        <w:spacing w:before="240" w:after="240" w:line="276" w:lineRule="auto"/>
        <w:jc w:val="both"/>
        <w:rPr>
          <w:rFonts w:cstheme="minorHAnsi"/>
          <w:sz w:val="32"/>
          <w:szCs w:val="32"/>
        </w:rPr>
      </w:pPr>
      <w:r>
        <w:rPr>
          <w:rFonts w:cstheme="minorHAnsi"/>
          <w:color w:val="0070C0"/>
          <w:sz w:val="32"/>
          <w:szCs w:val="32"/>
        </w:rPr>
        <w:pict w14:anchorId="6CFCD9B4">
          <v:rect id="_x0000_i1025" style="width:0;height:1.5pt" o:hralign="center" o:hrstd="t" o:hr="t" fillcolor="#a0a0a0" stroked="f"/>
        </w:pict>
      </w:r>
    </w:p>
    <w:p w14:paraId="40E5B297" w14:textId="77777777" w:rsidR="008B319C" w:rsidRPr="00B10084" w:rsidRDefault="008B319C" w:rsidP="00D62DD6">
      <w:pPr>
        <w:spacing w:before="240" w:line="276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  <w:r w:rsidRPr="00B10084">
        <w:rPr>
          <w:rFonts w:cstheme="minorHAnsi"/>
          <w:b/>
          <w:sz w:val="20"/>
          <w:szCs w:val="20"/>
          <w:shd w:val="clear" w:color="auto" w:fill="FFFFFF"/>
        </w:rPr>
        <w:t>Związek Polskiego Leasingu</w:t>
      </w:r>
    </w:p>
    <w:p w14:paraId="709C81FC" w14:textId="09698580" w:rsidR="004F7B4A" w:rsidRDefault="004F7B4A" w:rsidP="00D62DD6">
      <w:pPr>
        <w:spacing w:before="240"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2F365E">
        <w:rPr>
          <w:rFonts w:cstheme="minorHAnsi"/>
          <w:bCs/>
          <w:sz w:val="16"/>
          <w:szCs w:val="16"/>
          <w:shd w:val="clear" w:color="auto" w:fill="FFFFFF"/>
        </w:rPr>
        <w:t xml:space="preserve">To </w:t>
      </w:r>
      <w:r w:rsidRPr="002F365E">
        <w:rPr>
          <w:rFonts w:cstheme="minorHAnsi"/>
          <w:sz w:val="16"/>
          <w:szCs w:val="16"/>
          <w:shd w:val="clear" w:color="auto" w:fill="FFFFFF"/>
        </w:rPr>
        <w:t>organizacja reprezentująca branżę leasingową w Polsce. Związek zrzesza 36 podmiotów obejmujące ponad 90</w:t>
      </w:r>
      <w:r w:rsidR="00A10ACD">
        <w:rPr>
          <w:rFonts w:cstheme="minorHAnsi"/>
          <w:sz w:val="16"/>
          <w:szCs w:val="16"/>
          <w:shd w:val="clear" w:color="auto" w:fill="FFFFFF"/>
        </w:rPr>
        <w:t xml:space="preserve"> proc.</w:t>
      </w:r>
      <w:r w:rsidRPr="002F365E">
        <w:rPr>
          <w:rFonts w:cstheme="minorHAnsi"/>
          <w:sz w:val="16"/>
          <w:szCs w:val="16"/>
          <w:shd w:val="clear" w:color="auto" w:fill="FFFFFF"/>
        </w:rPr>
        <w:t xml:space="preserve"> sektora: 35 firm leasingowych oraz Polski Związek Wynajmu i Leasingu Pojazdów. ZPL prowadzi działania wizerunkowe i edukacyjne na rzecz propagowania leasingu jako narzędzia wspierającego rozwój przedsiębiorczości. Do zadań ZPL należy monitorowanie, opiniowanie oraz opracowywanie ekspertyz w zakresie regulacji dotyczących leasingu. Związek </w:t>
      </w:r>
      <w:r w:rsidR="00E76917" w:rsidRPr="00E76917">
        <w:rPr>
          <w:rFonts w:cstheme="minorHAnsi"/>
          <w:sz w:val="16"/>
          <w:szCs w:val="16"/>
          <w:shd w:val="clear" w:color="auto" w:fill="FFFFFF"/>
        </w:rPr>
        <w:t xml:space="preserve">jest aktywnym członkiem </w:t>
      </w:r>
      <w:r w:rsidR="00E76917" w:rsidRPr="00E76917">
        <w:rPr>
          <w:rFonts w:cstheme="minorHAnsi"/>
          <w:b/>
          <w:bCs/>
          <w:sz w:val="16"/>
          <w:szCs w:val="16"/>
          <w:shd w:val="clear" w:color="auto" w:fill="FFFFFF"/>
        </w:rPr>
        <w:t>Leaseurope</w:t>
      </w:r>
      <w:r w:rsidR="00E76917" w:rsidRPr="00E76917">
        <w:rPr>
          <w:rFonts w:cstheme="minorHAnsi"/>
          <w:sz w:val="16"/>
          <w:szCs w:val="16"/>
          <w:shd w:val="clear" w:color="auto" w:fill="FFFFFF"/>
        </w:rPr>
        <w:t xml:space="preserve"> – europejskiej federacji organizacji branży leasingowej i wynajmu pojazdów, zrzeszającej 45 stowarzyszeń z 32 krajów Europy.</w:t>
      </w:r>
      <w:r w:rsidR="00E76917"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2F365E">
        <w:rPr>
          <w:rFonts w:cstheme="minorHAnsi"/>
          <w:sz w:val="16"/>
          <w:szCs w:val="16"/>
          <w:shd w:val="clear" w:color="auto" w:fill="FFFFFF"/>
        </w:rPr>
        <w:t xml:space="preserve">W 2024 roku ZPL obchodził 30-lecie istnienia. W ciągu trzech dekad firmy leasingowe przeznaczyły ponad 1 bln zł na inwestycje przedsiębiorstw działających w Polsce. </w:t>
      </w:r>
    </w:p>
    <w:p w14:paraId="143F7770" w14:textId="77777777" w:rsidR="008B319C" w:rsidRPr="00B10084" w:rsidRDefault="008B319C" w:rsidP="00D62DD6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61D5CFE3" w14:textId="77777777" w:rsidR="008B319C" w:rsidRDefault="008B319C" w:rsidP="00D62DD6">
      <w:pPr>
        <w:spacing w:line="276" w:lineRule="auto"/>
        <w:jc w:val="both"/>
      </w:pPr>
      <w:r w:rsidRPr="00B10084">
        <w:rPr>
          <w:rFonts w:cstheme="minorHAnsi"/>
          <w:sz w:val="16"/>
          <w:szCs w:val="16"/>
          <w:shd w:val="clear" w:color="auto" w:fill="FFFFFF"/>
        </w:rPr>
        <w:t xml:space="preserve">Dodatkowe informacje: </w:t>
      </w:r>
      <w:hyperlink r:id="rId10" w:history="1">
        <w:r w:rsidRPr="00B10084">
          <w:rPr>
            <w:rStyle w:val="Hipercze"/>
            <w:rFonts w:cstheme="minorHAnsi"/>
            <w:sz w:val="16"/>
            <w:szCs w:val="16"/>
            <w:shd w:val="clear" w:color="auto" w:fill="FFFFFF"/>
          </w:rPr>
          <w:t>www.leasing.org.pl</w:t>
        </w:r>
      </w:hyperlink>
    </w:p>
    <w:p w14:paraId="63E52F8E" w14:textId="3ED99F8F" w:rsidR="005E6FF1" w:rsidRDefault="00000000" w:rsidP="00D62DD6">
      <w:pPr>
        <w:spacing w:line="276" w:lineRule="auto"/>
        <w:jc w:val="both"/>
      </w:pPr>
      <w:r>
        <w:rPr>
          <w:rFonts w:cstheme="minorHAnsi"/>
          <w:b/>
          <w:bCs/>
          <w:color w:val="0070C0"/>
          <w:sz w:val="32"/>
          <w:szCs w:val="32"/>
        </w:rPr>
        <w:pict w14:anchorId="6A5E4DC0">
          <v:rect id="_x0000_i1026" style="width:0;height:1.5pt" o:hralign="center" o:hrstd="t" o:hr="t" fillcolor="#a0a0a0" stroked="f"/>
        </w:pict>
      </w:r>
    </w:p>
    <w:p w14:paraId="62952D40" w14:textId="77777777" w:rsidR="008B319C" w:rsidRPr="00B10084" w:rsidRDefault="008B319C" w:rsidP="00D62DD6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0FF5DEC6" w14:textId="77777777" w:rsidR="008B319C" w:rsidRPr="00B10084" w:rsidRDefault="008B319C" w:rsidP="005E6FF1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66700255" w14:textId="77777777" w:rsidR="008B319C" w:rsidRPr="00B10084" w:rsidRDefault="008B319C" w:rsidP="00D62DD6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72165DC1" w14:textId="77777777" w:rsidR="008B319C" w:rsidRPr="00FE1A5E" w:rsidRDefault="008B319C" w:rsidP="00D62DD6">
      <w:pPr>
        <w:spacing w:line="276" w:lineRule="auto"/>
        <w:jc w:val="both"/>
        <w:rPr>
          <w:rFonts w:cstheme="minorHAnsi"/>
          <w:b/>
          <w:sz w:val="18"/>
          <w:szCs w:val="18"/>
          <w:shd w:val="clear" w:color="auto" w:fill="FFFFFF"/>
        </w:rPr>
      </w:pPr>
      <w:r w:rsidRPr="00FE1A5E">
        <w:rPr>
          <w:rFonts w:cstheme="minorHAnsi"/>
          <w:b/>
          <w:sz w:val="18"/>
          <w:szCs w:val="18"/>
          <w:shd w:val="clear" w:color="auto" w:fill="FFFFFF"/>
        </w:rPr>
        <w:t>Kontakt dla mediów:</w:t>
      </w:r>
    </w:p>
    <w:p w14:paraId="5F179E03" w14:textId="77777777" w:rsidR="008B319C" w:rsidRPr="00FE1A5E" w:rsidRDefault="008B319C" w:rsidP="00D62DD6">
      <w:pPr>
        <w:spacing w:line="276" w:lineRule="auto"/>
        <w:jc w:val="both"/>
        <w:rPr>
          <w:rFonts w:cstheme="minorHAnsi"/>
          <w:sz w:val="18"/>
          <w:szCs w:val="18"/>
        </w:rPr>
      </w:pPr>
      <w:r w:rsidRPr="00FE1A5E">
        <w:rPr>
          <w:rFonts w:cstheme="minorHAnsi"/>
          <w:sz w:val="18"/>
          <w:szCs w:val="18"/>
        </w:rPr>
        <w:t>Katarzyna Ostrowska</w:t>
      </w:r>
    </w:p>
    <w:p w14:paraId="2815BE52" w14:textId="77777777" w:rsidR="008B319C" w:rsidRPr="00FE1A5E" w:rsidRDefault="008B319C" w:rsidP="00D62DD6">
      <w:pPr>
        <w:spacing w:line="276" w:lineRule="auto"/>
        <w:jc w:val="both"/>
        <w:rPr>
          <w:rFonts w:cstheme="minorHAnsi"/>
          <w:sz w:val="18"/>
          <w:szCs w:val="18"/>
        </w:rPr>
      </w:pPr>
      <w:r w:rsidRPr="00FE1A5E">
        <w:rPr>
          <w:rFonts w:cstheme="minorHAnsi"/>
          <w:sz w:val="18"/>
          <w:szCs w:val="18"/>
        </w:rPr>
        <w:t>Dyrektorka ds. komunikacji i PR</w:t>
      </w:r>
    </w:p>
    <w:p w14:paraId="65331279" w14:textId="77777777" w:rsidR="008B319C" w:rsidRPr="00FE1A5E" w:rsidRDefault="008B319C" w:rsidP="00D62DD6">
      <w:pPr>
        <w:spacing w:line="276" w:lineRule="auto"/>
        <w:jc w:val="both"/>
        <w:rPr>
          <w:rFonts w:cstheme="minorHAnsi"/>
          <w:sz w:val="18"/>
          <w:szCs w:val="18"/>
          <w:lang w:val="de-DE"/>
        </w:rPr>
      </w:pPr>
      <w:proofErr w:type="spellStart"/>
      <w:r w:rsidRPr="00FE1A5E">
        <w:rPr>
          <w:rFonts w:cstheme="minorHAnsi"/>
          <w:sz w:val="18"/>
          <w:szCs w:val="18"/>
          <w:lang w:val="de-DE"/>
        </w:rPr>
        <w:t>e-mail</w:t>
      </w:r>
      <w:proofErr w:type="spellEnd"/>
      <w:r w:rsidRPr="00FE1A5E">
        <w:rPr>
          <w:rFonts w:cstheme="minorHAnsi"/>
          <w:sz w:val="18"/>
          <w:szCs w:val="18"/>
          <w:lang w:val="de-DE"/>
        </w:rPr>
        <w:t xml:space="preserve">: katarzyna.ostrowska@leasing.org.pl </w:t>
      </w:r>
    </w:p>
    <w:p w14:paraId="73589F1E" w14:textId="77777777" w:rsidR="008B319C" w:rsidRPr="00FE1A5E" w:rsidRDefault="008B319C" w:rsidP="00D62DD6">
      <w:pPr>
        <w:spacing w:line="276" w:lineRule="auto"/>
        <w:jc w:val="both"/>
        <w:rPr>
          <w:rFonts w:cstheme="minorHAnsi"/>
          <w:sz w:val="18"/>
          <w:szCs w:val="18"/>
        </w:rPr>
      </w:pPr>
      <w:r w:rsidRPr="00FE1A5E">
        <w:rPr>
          <w:rFonts w:cstheme="minorHAnsi"/>
          <w:sz w:val="18"/>
          <w:szCs w:val="18"/>
        </w:rPr>
        <w:t>tel.: (+48) 697 770 498</w:t>
      </w:r>
    </w:p>
    <w:p w14:paraId="29DD4912" w14:textId="77777777" w:rsidR="008B319C" w:rsidRPr="00C97560" w:rsidRDefault="008B319C" w:rsidP="00D62DD6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29490517" w14:textId="6A003B30" w:rsidR="008B319C" w:rsidRPr="00FE1A5E" w:rsidRDefault="008B319C" w:rsidP="00D62DD6">
      <w:pPr>
        <w:spacing w:line="276" w:lineRule="auto"/>
        <w:jc w:val="both"/>
        <w:rPr>
          <w:rFonts w:cstheme="minorHAnsi"/>
          <w:sz w:val="18"/>
          <w:szCs w:val="18"/>
        </w:rPr>
      </w:pPr>
      <w:r w:rsidRPr="00FE1A5E">
        <w:rPr>
          <w:rFonts w:cstheme="minorHAnsi"/>
          <w:sz w:val="18"/>
          <w:szCs w:val="18"/>
        </w:rPr>
        <w:t>Śledź nas na</w:t>
      </w:r>
      <w:r w:rsidR="00FE1A5E">
        <w:rPr>
          <w:rFonts w:cstheme="minorHAnsi"/>
          <w:sz w:val="18"/>
          <w:szCs w:val="18"/>
        </w:rPr>
        <w:t>:</w:t>
      </w:r>
      <w:r w:rsidRPr="00FE1A5E">
        <w:rPr>
          <w:rFonts w:cstheme="minorHAnsi"/>
          <w:sz w:val="18"/>
          <w:szCs w:val="18"/>
        </w:rPr>
        <w:t xml:space="preserve"> </w:t>
      </w:r>
    </w:p>
    <w:p w14:paraId="71551D1E" w14:textId="77777777" w:rsidR="008B319C" w:rsidRPr="00B10084" w:rsidRDefault="008B319C" w:rsidP="00D62DD6">
      <w:pPr>
        <w:spacing w:line="276" w:lineRule="auto"/>
        <w:jc w:val="both"/>
        <w:rPr>
          <w:rFonts w:cstheme="minorHAnsi"/>
        </w:rPr>
      </w:pPr>
      <w:r w:rsidRPr="00B10084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70926D3E" wp14:editId="3C75D50A">
            <wp:extent cx="270053" cy="270053"/>
            <wp:effectExtent l="0" t="0" r="0" b="0"/>
            <wp:docPr id="2114648539" name="Obraz 1" descr="Obraz zawierający krąg, Grafika, symbol, Jaskrawoniebieski&#10;&#10;Opis wygenerowany automatycznie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648539" name="Obraz 1" descr="Obraz zawierający krąg, Grafika, symbol, Jaskrawoniebieski&#10;&#10;Opis wygenerowany automatycznie">
                      <a:hlinkClick r:id="rId11"/>
                    </pic:cNvPr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15" cy="27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10084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0F7AC1AB" wp14:editId="73647936">
            <wp:extent cx="270662" cy="270662"/>
            <wp:effectExtent l="0" t="0" r="0" b="0"/>
            <wp:docPr id="1687359088" name="Obraz 2" descr="Obraz zawierający symbol, Czcionka, biały, Grafika&#10;&#10;Opis wygenerowany automatycznie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359088" name="Obraz 2" descr="Obraz zawierający symbol, Czcionka, biały, Grafika&#10;&#10;Opis wygenerowany automatycznie">
                      <a:hlinkClick r:id="rId13"/>
                    </pic:cNvPr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62" cy="278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314914" w14:textId="77777777" w:rsidR="008B319C" w:rsidRPr="004F4588" w:rsidRDefault="008B319C" w:rsidP="00D62DD6">
      <w:pPr>
        <w:jc w:val="both"/>
      </w:pPr>
    </w:p>
    <w:sectPr w:rsidR="008B319C" w:rsidRPr="004F4588" w:rsidSect="00684E74">
      <w:headerReference w:type="default" r:id="rId15"/>
      <w:footerReference w:type="default" r:id="rId16"/>
      <w:pgSz w:w="11906" w:h="16838"/>
      <w:pgMar w:top="1418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74812E" w14:textId="77777777" w:rsidR="002960C5" w:rsidRDefault="002960C5" w:rsidP="00C64445">
      <w:r>
        <w:separator/>
      </w:r>
    </w:p>
  </w:endnote>
  <w:endnote w:type="continuationSeparator" w:id="0">
    <w:p w14:paraId="72BE2B51" w14:textId="77777777" w:rsidR="002960C5" w:rsidRDefault="002960C5" w:rsidP="00C64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9D575" w14:textId="0A22F897" w:rsidR="00C64445" w:rsidRDefault="0084396B">
    <w:pPr>
      <w:pStyle w:val="Stopka"/>
    </w:pPr>
    <w:r>
      <w:rPr>
        <w:noProof/>
      </w:rPr>
      <w:drawing>
        <wp:inline distT="0" distB="0" distL="0" distR="0" wp14:anchorId="7AA780EF" wp14:editId="59C7B775">
          <wp:extent cx="5760720" cy="369570"/>
          <wp:effectExtent l="0" t="0" r="5080" b="0"/>
          <wp:docPr id="114867553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8675538" name="Obraz 11486755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3695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64445">
      <w:ptab w:relativeTo="margin" w:alignment="center" w:leader="none"/>
    </w:r>
    <w:r w:rsidR="00C64445"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C49EA1" w14:textId="77777777" w:rsidR="002960C5" w:rsidRDefault="002960C5" w:rsidP="00C64445">
      <w:r>
        <w:separator/>
      </w:r>
    </w:p>
  </w:footnote>
  <w:footnote w:type="continuationSeparator" w:id="0">
    <w:p w14:paraId="339142E7" w14:textId="77777777" w:rsidR="002960C5" w:rsidRDefault="002960C5" w:rsidP="00C64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C2FDA" w14:textId="0DEE9668" w:rsidR="00C64445" w:rsidRDefault="00684E74">
    <w:pPr>
      <w:pStyle w:val="Nagwek"/>
    </w:pPr>
    <w:r>
      <w:rPr>
        <w:noProof/>
      </w:rPr>
      <w:drawing>
        <wp:inline distT="0" distB="0" distL="0" distR="0" wp14:anchorId="150CCEAE" wp14:editId="5DEDCE33">
          <wp:extent cx="1371600" cy="1126974"/>
          <wp:effectExtent l="0" t="0" r="0" b="0"/>
          <wp:docPr id="327716347" name="Obraz 1" descr="Obraz zawierający tekst, Czcionka, Grafika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7716347" name="Obraz 1" descr="Obraz zawierający tekst, Czcionka, Grafika, logo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2987" cy="11363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E6978B" w14:textId="77777777" w:rsidR="00C64445" w:rsidRDefault="00C644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55241"/>
    <w:multiLevelType w:val="multilevel"/>
    <w:tmpl w:val="BAD87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8B04A2"/>
    <w:multiLevelType w:val="hybridMultilevel"/>
    <w:tmpl w:val="9A88D0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7119A"/>
    <w:multiLevelType w:val="hybridMultilevel"/>
    <w:tmpl w:val="F62695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54542"/>
    <w:multiLevelType w:val="hybridMultilevel"/>
    <w:tmpl w:val="5AA286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16706"/>
    <w:multiLevelType w:val="multilevel"/>
    <w:tmpl w:val="443C1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BE7723"/>
    <w:multiLevelType w:val="multilevel"/>
    <w:tmpl w:val="7F6CC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352B7F"/>
    <w:multiLevelType w:val="multilevel"/>
    <w:tmpl w:val="AC56D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7C3DCE"/>
    <w:multiLevelType w:val="multilevel"/>
    <w:tmpl w:val="900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865460"/>
    <w:multiLevelType w:val="multilevel"/>
    <w:tmpl w:val="58E01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A41EFE"/>
    <w:multiLevelType w:val="hybridMultilevel"/>
    <w:tmpl w:val="7D0826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F47A42"/>
    <w:multiLevelType w:val="hybridMultilevel"/>
    <w:tmpl w:val="1AB625F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2D4200"/>
    <w:multiLevelType w:val="multilevel"/>
    <w:tmpl w:val="59EC0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DBD6382"/>
    <w:multiLevelType w:val="hybridMultilevel"/>
    <w:tmpl w:val="E9026E2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DE0C84"/>
    <w:multiLevelType w:val="hybridMultilevel"/>
    <w:tmpl w:val="8FD44CC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6E10DA"/>
    <w:multiLevelType w:val="hybridMultilevel"/>
    <w:tmpl w:val="EFD431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8C7714"/>
    <w:multiLevelType w:val="multilevel"/>
    <w:tmpl w:val="FE7C6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DBD381F"/>
    <w:multiLevelType w:val="hybridMultilevel"/>
    <w:tmpl w:val="821CFF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585B26"/>
    <w:multiLevelType w:val="multilevel"/>
    <w:tmpl w:val="2B00E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1D6769F"/>
    <w:multiLevelType w:val="hybridMultilevel"/>
    <w:tmpl w:val="03BC89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15ABB"/>
    <w:multiLevelType w:val="hybridMultilevel"/>
    <w:tmpl w:val="03AC4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2D4BBA"/>
    <w:multiLevelType w:val="multilevel"/>
    <w:tmpl w:val="ACF4B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76404B2"/>
    <w:multiLevelType w:val="multilevel"/>
    <w:tmpl w:val="8B0A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C21D67"/>
    <w:multiLevelType w:val="hybridMultilevel"/>
    <w:tmpl w:val="5F8859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576425"/>
    <w:multiLevelType w:val="multilevel"/>
    <w:tmpl w:val="31B2E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18401D"/>
    <w:multiLevelType w:val="multilevel"/>
    <w:tmpl w:val="BE44C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552F0E"/>
    <w:multiLevelType w:val="hybridMultilevel"/>
    <w:tmpl w:val="8A0ED6F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CA02696"/>
    <w:multiLevelType w:val="hybridMultilevel"/>
    <w:tmpl w:val="C6A2CB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3785019"/>
    <w:multiLevelType w:val="multilevel"/>
    <w:tmpl w:val="1388C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ACC6AC5"/>
    <w:multiLevelType w:val="multilevel"/>
    <w:tmpl w:val="C83AD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CCC0E24"/>
    <w:multiLevelType w:val="multilevel"/>
    <w:tmpl w:val="37BC7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DD1283F"/>
    <w:multiLevelType w:val="multilevel"/>
    <w:tmpl w:val="80803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7682871"/>
    <w:multiLevelType w:val="multilevel"/>
    <w:tmpl w:val="49C8F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C830785"/>
    <w:multiLevelType w:val="hybridMultilevel"/>
    <w:tmpl w:val="765C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B1324E"/>
    <w:multiLevelType w:val="hybridMultilevel"/>
    <w:tmpl w:val="51C204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5205604">
    <w:abstractNumId w:val="2"/>
  </w:num>
  <w:num w:numId="2" w16cid:durableId="9146334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14039919">
    <w:abstractNumId w:val="28"/>
  </w:num>
  <w:num w:numId="4" w16cid:durableId="663321470">
    <w:abstractNumId w:val="31"/>
  </w:num>
  <w:num w:numId="5" w16cid:durableId="162018194">
    <w:abstractNumId w:val="3"/>
  </w:num>
  <w:num w:numId="6" w16cid:durableId="64644634">
    <w:abstractNumId w:val="12"/>
  </w:num>
  <w:num w:numId="7" w16cid:durableId="2027907007">
    <w:abstractNumId w:val="26"/>
  </w:num>
  <w:num w:numId="8" w16cid:durableId="471412180">
    <w:abstractNumId w:val="11"/>
  </w:num>
  <w:num w:numId="9" w16cid:durableId="980813205">
    <w:abstractNumId w:val="1"/>
  </w:num>
  <w:num w:numId="10" w16cid:durableId="793132770">
    <w:abstractNumId w:val="9"/>
  </w:num>
  <w:num w:numId="11" w16cid:durableId="1086851412">
    <w:abstractNumId w:val="17"/>
  </w:num>
  <w:num w:numId="12" w16cid:durableId="1174303547">
    <w:abstractNumId w:val="4"/>
  </w:num>
  <w:num w:numId="13" w16cid:durableId="2100129948">
    <w:abstractNumId w:val="29"/>
  </w:num>
  <w:num w:numId="14" w16cid:durableId="1563324192">
    <w:abstractNumId w:val="24"/>
  </w:num>
  <w:num w:numId="15" w16cid:durableId="705569770">
    <w:abstractNumId w:val="27"/>
  </w:num>
  <w:num w:numId="16" w16cid:durableId="111291106">
    <w:abstractNumId w:val="6"/>
  </w:num>
  <w:num w:numId="17" w16cid:durableId="1952204828">
    <w:abstractNumId w:val="23"/>
  </w:num>
  <w:num w:numId="18" w16cid:durableId="467361020">
    <w:abstractNumId w:val="14"/>
  </w:num>
  <w:num w:numId="19" w16cid:durableId="1832141202">
    <w:abstractNumId w:val="22"/>
  </w:num>
  <w:num w:numId="20" w16cid:durableId="1039624216">
    <w:abstractNumId w:val="10"/>
  </w:num>
  <w:num w:numId="21" w16cid:durableId="659163590">
    <w:abstractNumId w:val="13"/>
  </w:num>
  <w:num w:numId="22" w16cid:durableId="2110006445">
    <w:abstractNumId w:val="16"/>
  </w:num>
  <w:num w:numId="23" w16cid:durableId="1797944648">
    <w:abstractNumId w:val="0"/>
  </w:num>
  <w:num w:numId="24" w16cid:durableId="2082213637">
    <w:abstractNumId w:val="15"/>
  </w:num>
  <w:num w:numId="25" w16cid:durableId="1752896399">
    <w:abstractNumId w:val="30"/>
  </w:num>
  <w:num w:numId="26" w16cid:durableId="1489051389">
    <w:abstractNumId w:val="32"/>
  </w:num>
  <w:num w:numId="27" w16cid:durableId="1232807736">
    <w:abstractNumId w:val="8"/>
  </w:num>
  <w:num w:numId="28" w16cid:durableId="682897662">
    <w:abstractNumId w:val="18"/>
  </w:num>
  <w:num w:numId="29" w16cid:durableId="1839425136">
    <w:abstractNumId w:val="21"/>
  </w:num>
  <w:num w:numId="30" w16cid:durableId="1138953172">
    <w:abstractNumId w:val="7"/>
  </w:num>
  <w:num w:numId="31" w16cid:durableId="1981228885">
    <w:abstractNumId w:val="20"/>
  </w:num>
  <w:num w:numId="32" w16cid:durableId="162092142">
    <w:abstractNumId w:val="19"/>
  </w:num>
  <w:num w:numId="33" w16cid:durableId="1804737737">
    <w:abstractNumId w:val="5"/>
  </w:num>
  <w:num w:numId="34" w16cid:durableId="1553032171">
    <w:abstractNumId w:val="33"/>
  </w:num>
  <w:num w:numId="35" w16cid:durableId="174367578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445"/>
    <w:rsid w:val="000000E2"/>
    <w:rsid w:val="000119FB"/>
    <w:rsid w:val="0001765A"/>
    <w:rsid w:val="0002000A"/>
    <w:rsid w:val="000230B3"/>
    <w:rsid w:val="0002341D"/>
    <w:rsid w:val="00026258"/>
    <w:rsid w:val="00026267"/>
    <w:rsid w:val="000270DE"/>
    <w:rsid w:val="000279C9"/>
    <w:rsid w:val="00030CBE"/>
    <w:rsid w:val="000378A7"/>
    <w:rsid w:val="00040A75"/>
    <w:rsid w:val="000426F8"/>
    <w:rsid w:val="00043408"/>
    <w:rsid w:val="00045B7F"/>
    <w:rsid w:val="0005239B"/>
    <w:rsid w:val="00054B09"/>
    <w:rsid w:val="00060AAA"/>
    <w:rsid w:val="00062F1F"/>
    <w:rsid w:val="00070A65"/>
    <w:rsid w:val="0007320F"/>
    <w:rsid w:val="00074185"/>
    <w:rsid w:val="00075D79"/>
    <w:rsid w:val="00080F9A"/>
    <w:rsid w:val="00085624"/>
    <w:rsid w:val="0008695F"/>
    <w:rsid w:val="00087C5A"/>
    <w:rsid w:val="00091456"/>
    <w:rsid w:val="00096CA6"/>
    <w:rsid w:val="00097119"/>
    <w:rsid w:val="000A145A"/>
    <w:rsid w:val="000B2597"/>
    <w:rsid w:val="000B25F9"/>
    <w:rsid w:val="000B42C8"/>
    <w:rsid w:val="000B5BB8"/>
    <w:rsid w:val="000C1967"/>
    <w:rsid w:val="000C430A"/>
    <w:rsid w:val="000C60C8"/>
    <w:rsid w:val="000D295A"/>
    <w:rsid w:val="000D734F"/>
    <w:rsid w:val="000E3F2C"/>
    <w:rsid w:val="000E4EC0"/>
    <w:rsid w:val="000E5778"/>
    <w:rsid w:val="000F0265"/>
    <w:rsid w:val="000F1E11"/>
    <w:rsid w:val="00103CEB"/>
    <w:rsid w:val="00104425"/>
    <w:rsid w:val="001054ED"/>
    <w:rsid w:val="001056CC"/>
    <w:rsid w:val="0011042D"/>
    <w:rsid w:val="00111056"/>
    <w:rsid w:val="001150F9"/>
    <w:rsid w:val="00116B72"/>
    <w:rsid w:val="00122775"/>
    <w:rsid w:val="001230CD"/>
    <w:rsid w:val="00124778"/>
    <w:rsid w:val="001253A1"/>
    <w:rsid w:val="00126D7E"/>
    <w:rsid w:val="00127BEE"/>
    <w:rsid w:val="00131CD0"/>
    <w:rsid w:val="00131D75"/>
    <w:rsid w:val="00133576"/>
    <w:rsid w:val="00135BFF"/>
    <w:rsid w:val="001416AC"/>
    <w:rsid w:val="00141CAA"/>
    <w:rsid w:val="0014353F"/>
    <w:rsid w:val="00144EE1"/>
    <w:rsid w:val="0014511E"/>
    <w:rsid w:val="001452BD"/>
    <w:rsid w:val="00145459"/>
    <w:rsid w:val="00152DE2"/>
    <w:rsid w:val="0015561F"/>
    <w:rsid w:val="00155F5D"/>
    <w:rsid w:val="00157180"/>
    <w:rsid w:val="00164D38"/>
    <w:rsid w:val="001652B8"/>
    <w:rsid w:val="001657AB"/>
    <w:rsid w:val="0016778E"/>
    <w:rsid w:val="00173204"/>
    <w:rsid w:val="00173D00"/>
    <w:rsid w:val="001810B5"/>
    <w:rsid w:val="0018129A"/>
    <w:rsid w:val="00182F71"/>
    <w:rsid w:val="00184F8B"/>
    <w:rsid w:val="00192A39"/>
    <w:rsid w:val="0019410B"/>
    <w:rsid w:val="00196147"/>
    <w:rsid w:val="001A06B9"/>
    <w:rsid w:val="001A4918"/>
    <w:rsid w:val="001A5150"/>
    <w:rsid w:val="001A6855"/>
    <w:rsid w:val="001A7D3A"/>
    <w:rsid w:val="001B0556"/>
    <w:rsid w:val="001B1BD1"/>
    <w:rsid w:val="001B37C5"/>
    <w:rsid w:val="001C02E9"/>
    <w:rsid w:val="001C2893"/>
    <w:rsid w:val="001C58A6"/>
    <w:rsid w:val="001D18E0"/>
    <w:rsid w:val="001D26CA"/>
    <w:rsid w:val="001D432B"/>
    <w:rsid w:val="001D46CD"/>
    <w:rsid w:val="001D58F4"/>
    <w:rsid w:val="001D6F0C"/>
    <w:rsid w:val="001E2415"/>
    <w:rsid w:val="001F1650"/>
    <w:rsid w:val="001F250F"/>
    <w:rsid w:val="001F2866"/>
    <w:rsid w:val="001F41AE"/>
    <w:rsid w:val="001F505B"/>
    <w:rsid w:val="001F57AC"/>
    <w:rsid w:val="001F7E64"/>
    <w:rsid w:val="002056E9"/>
    <w:rsid w:val="00210202"/>
    <w:rsid w:val="002113D3"/>
    <w:rsid w:val="00212802"/>
    <w:rsid w:val="00214B24"/>
    <w:rsid w:val="00221364"/>
    <w:rsid w:val="0022388D"/>
    <w:rsid w:val="0022460D"/>
    <w:rsid w:val="002267A3"/>
    <w:rsid w:val="00232A86"/>
    <w:rsid w:val="00234973"/>
    <w:rsid w:val="00240195"/>
    <w:rsid w:val="00240836"/>
    <w:rsid w:val="00244973"/>
    <w:rsid w:val="00246C6F"/>
    <w:rsid w:val="0025147D"/>
    <w:rsid w:val="00251977"/>
    <w:rsid w:val="00254A49"/>
    <w:rsid w:val="002555B6"/>
    <w:rsid w:val="00257990"/>
    <w:rsid w:val="0026034E"/>
    <w:rsid w:val="0026188F"/>
    <w:rsid w:val="002663A2"/>
    <w:rsid w:val="0026795E"/>
    <w:rsid w:val="002733C7"/>
    <w:rsid w:val="0027542A"/>
    <w:rsid w:val="00277A38"/>
    <w:rsid w:val="002850D6"/>
    <w:rsid w:val="00292949"/>
    <w:rsid w:val="00292C1B"/>
    <w:rsid w:val="002951E3"/>
    <w:rsid w:val="00295E2E"/>
    <w:rsid w:val="002960C5"/>
    <w:rsid w:val="00297079"/>
    <w:rsid w:val="002A12B0"/>
    <w:rsid w:val="002A13CB"/>
    <w:rsid w:val="002A359B"/>
    <w:rsid w:val="002A4F17"/>
    <w:rsid w:val="002B6EFC"/>
    <w:rsid w:val="002C2302"/>
    <w:rsid w:val="002C5C7C"/>
    <w:rsid w:val="002C7453"/>
    <w:rsid w:val="002D134A"/>
    <w:rsid w:val="002D1D18"/>
    <w:rsid w:val="002D5E88"/>
    <w:rsid w:val="002D6FAD"/>
    <w:rsid w:val="002D7150"/>
    <w:rsid w:val="002E0CDC"/>
    <w:rsid w:val="002E3500"/>
    <w:rsid w:val="002E460E"/>
    <w:rsid w:val="002E5331"/>
    <w:rsid w:val="002F1271"/>
    <w:rsid w:val="002F15BD"/>
    <w:rsid w:val="002F5B77"/>
    <w:rsid w:val="002F5D61"/>
    <w:rsid w:val="0030270E"/>
    <w:rsid w:val="00302FCE"/>
    <w:rsid w:val="00305E62"/>
    <w:rsid w:val="003120D4"/>
    <w:rsid w:val="00312863"/>
    <w:rsid w:val="003133C9"/>
    <w:rsid w:val="00314258"/>
    <w:rsid w:val="00315F53"/>
    <w:rsid w:val="003214C3"/>
    <w:rsid w:val="00323759"/>
    <w:rsid w:val="00323ED1"/>
    <w:rsid w:val="00324735"/>
    <w:rsid w:val="0032528B"/>
    <w:rsid w:val="003266DF"/>
    <w:rsid w:val="00331675"/>
    <w:rsid w:val="00331B7F"/>
    <w:rsid w:val="00333A1E"/>
    <w:rsid w:val="00333E20"/>
    <w:rsid w:val="00341CEF"/>
    <w:rsid w:val="00344DAC"/>
    <w:rsid w:val="00346494"/>
    <w:rsid w:val="00351CD6"/>
    <w:rsid w:val="0035563D"/>
    <w:rsid w:val="00361E8C"/>
    <w:rsid w:val="0037098F"/>
    <w:rsid w:val="003724FA"/>
    <w:rsid w:val="00373609"/>
    <w:rsid w:val="00375A9C"/>
    <w:rsid w:val="00381B26"/>
    <w:rsid w:val="00382534"/>
    <w:rsid w:val="00382C8A"/>
    <w:rsid w:val="00385164"/>
    <w:rsid w:val="003866DC"/>
    <w:rsid w:val="00391B3D"/>
    <w:rsid w:val="003921F7"/>
    <w:rsid w:val="00394118"/>
    <w:rsid w:val="003949C9"/>
    <w:rsid w:val="003A40AA"/>
    <w:rsid w:val="003B3761"/>
    <w:rsid w:val="003B3915"/>
    <w:rsid w:val="003B4004"/>
    <w:rsid w:val="003C1EEB"/>
    <w:rsid w:val="003C3AAE"/>
    <w:rsid w:val="003D27B8"/>
    <w:rsid w:val="003D38C0"/>
    <w:rsid w:val="003D5772"/>
    <w:rsid w:val="003D6437"/>
    <w:rsid w:val="003D712E"/>
    <w:rsid w:val="003D7E75"/>
    <w:rsid w:val="003D7EBE"/>
    <w:rsid w:val="003E27D4"/>
    <w:rsid w:val="003E6DA1"/>
    <w:rsid w:val="003E6FCE"/>
    <w:rsid w:val="003F19FE"/>
    <w:rsid w:val="003F330C"/>
    <w:rsid w:val="003F578D"/>
    <w:rsid w:val="003F76C1"/>
    <w:rsid w:val="004010E2"/>
    <w:rsid w:val="004011FD"/>
    <w:rsid w:val="0040246D"/>
    <w:rsid w:val="00406D43"/>
    <w:rsid w:val="0040767D"/>
    <w:rsid w:val="0041741F"/>
    <w:rsid w:val="00424AF5"/>
    <w:rsid w:val="00425870"/>
    <w:rsid w:val="004264AB"/>
    <w:rsid w:val="00430485"/>
    <w:rsid w:val="004354F3"/>
    <w:rsid w:val="00436812"/>
    <w:rsid w:val="00442B70"/>
    <w:rsid w:val="004503EC"/>
    <w:rsid w:val="004507D3"/>
    <w:rsid w:val="00450DF3"/>
    <w:rsid w:val="00451821"/>
    <w:rsid w:val="00451868"/>
    <w:rsid w:val="00454F26"/>
    <w:rsid w:val="00461B13"/>
    <w:rsid w:val="0046442C"/>
    <w:rsid w:val="00466719"/>
    <w:rsid w:val="004729B0"/>
    <w:rsid w:val="004744E0"/>
    <w:rsid w:val="00475945"/>
    <w:rsid w:val="00475D70"/>
    <w:rsid w:val="00481D5E"/>
    <w:rsid w:val="0048231F"/>
    <w:rsid w:val="004839F4"/>
    <w:rsid w:val="004846DD"/>
    <w:rsid w:val="00484F1D"/>
    <w:rsid w:val="00485DF4"/>
    <w:rsid w:val="00486FEE"/>
    <w:rsid w:val="0049322D"/>
    <w:rsid w:val="004A7C2A"/>
    <w:rsid w:val="004B1503"/>
    <w:rsid w:val="004B438B"/>
    <w:rsid w:val="004B4417"/>
    <w:rsid w:val="004C0587"/>
    <w:rsid w:val="004C51EE"/>
    <w:rsid w:val="004C744E"/>
    <w:rsid w:val="004C776E"/>
    <w:rsid w:val="004D0ADF"/>
    <w:rsid w:val="004D1ABE"/>
    <w:rsid w:val="004D3680"/>
    <w:rsid w:val="004E22B6"/>
    <w:rsid w:val="004E3ADB"/>
    <w:rsid w:val="004E55E8"/>
    <w:rsid w:val="004E5A8F"/>
    <w:rsid w:val="004F420F"/>
    <w:rsid w:val="004F4588"/>
    <w:rsid w:val="004F6CF3"/>
    <w:rsid w:val="004F7B4A"/>
    <w:rsid w:val="00507647"/>
    <w:rsid w:val="00510ACB"/>
    <w:rsid w:val="00515D0B"/>
    <w:rsid w:val="0051752A"/>
    <w:rsid w:val="00520C4B"/>
    <w:rsid w:val="00525BA2"/>
    <w:rsid w:val="00530663"/>
    <w:rsid w:val="005358EE"/>
    <w:rsid w:val="005360E6"/>
    <w:rsid w:val="005400DC"/>
    <w:rsid w:val="0054107B"/>
    <w:rsid w:val="0054694C"/>
    <w:rsid w:val="005470A0"/>
    <w:rsid w:val="005476F7"/>
    <w:rsid w:val="00547D16"/>
    <w:rsid w:val="0055022C"/>
    <w:rsid w:val="005549D9"/>
    <w:rsid w:val="00556701"/>
    <w:rsid w:val="00556E29"/>
    <w:rsid w:val="00557BA7"/>
    <w:rsid w:val="00560F08"/>
    <w:rsid w:val="00562477"/>
    <w:rsid w:val="00562F1D"/>
    <w:rsid w:val="00566D6D"/>
    <w:rsid w:val="00572D23"/>
    <w:rsid w:val="00573F94"/>
    <w:rsid w:val="00580DCE"/>
    <w:rsid w:val="00582063"/>
    <w:rsid w:val="00586FB1"/>
    <w:rsid w:val="005A1B28"/>
    <w:rsid w:val="005A28F6"/>
    <w:rsid w:val="005A7684"/>
    <w:rsid w:val="005B1906"/>
    <w:rsid w:val="005B3A4A"/>
    <w:rsid w:val="005B647C"/>
    <w:rsid w:val="005B749B"/>
    <w:rsid w:val="005B7DCB"/>
    <w:rsid w:val="005C00AE"/>
    <w:rsid w:val="005C0744"/>
    <w:rsid w:val="005C1291"/>
    <w:rsid w:val="005C5088"/>
    <w:rsid w:val="005C52F9"/>
    <w:rsid w:val="005D1494"/>
    <w:rsid w:val="005D1DED"/>
    <w:rsid w:val="005D242C"/>
    <w:rsid w:val="005D3DBC"/>
    <w:rsid w:val="005D552A"/>
    <w:rsid w:val="005D79D1"/>
    <w:rsid w:val="005E4120"/>
    <w:rsid w:val="005E4DB0"/>
    <w:rsid w:val="005E6D4A"/>
    <w:rsid w:val="005E6FF1"/>
    <w:rsid w:val="005F075A"/>
    <w:rsid w:val="005F2E6D"/>
    <w:rsid w:val="005F3FD4"/>
    <w:rsid w:val="005F7BAE"/>
    <w:rsid w:val="00605462"/>
    <w:rsid w:val="0061396D"/>
    <w:rsid w:val="0061555F"/>
    <w:rsid w:val="00623464"/>
    <w:rsid w:val="00625AD9"/>
    <w:rsid w:val="0063277D"/>
    <w:rsid w:val="00635BE4"/>
    <w:rsid w:val="00640C86"/>
    <w:rsid w:val="006411CD"/>
    <w:rsid w:val="00645008"/>
    <w:rsid w:val="00646047"/>
    <w:rsid w:val="00646957"/>
    <w:rsid w:val="00646C6B"/>
    <w:rsid w:val="00647128"/>
    <w:rsid w:val="006504CB"/>
    <w:rsid w:val="00651AA9"/>
    <w:rsid w:val="0065259C"/>
    <w:rsid w:val="006529EF"/>
    <w:rsid w:val="00652D15"/>
    <w:rsid w:val="00653377"/>
    <w:rsid w:val="0065662B"/>
    <w:rsid w:val="00657786"/>
    <w:rsid w:val="006607CA"/>
    <w:rsid w:val="00660B1F"/>
    <w:rsid w:val="00664F20"/>
    <w:rsid w:val="0066677E"/>
    <w:rsid w:val="00673CAB"/>
    <w:rsid w:val="00673F17"/>
    <w:rsid w:val="00674C1C"/>
    <w:rsid w:val="00676325"/>
    <w:rsid w:val="00680A06"/>
    <w:rsid w:val="006827B9"/>
    <w:rsid w:val="00683456"/>
    <w:rsid w:val="00683AC5"/>
    <w:rsid w:val="00684AB2"/>
    <w:rsid w:val="00684E74"/>
    <w:rsid w:val="00690163"/>
    <w:rsid w:val="00692578"/>
    <w:rsid w:val="00693171"/>
    <w:rsid w:val="0069433B"/>
    <w:rsid w:val="006A7540"/>
    <w:rsid w:val="006B0A1B"/>
    <w:rsid w:val="006B1A20"/>
    <w:rsid w:val="006B2D5D"/>
    <w:rsid w:val="006B3997"/>
    <w:rsid w:val="006B573C"/>
    <w:rsid w:val="006B5C05"/>
    <w:rsid w:val="006C2AF0"/>
    <w:rsid w:val="006C3E97"/>
    <w:rsid w:val="006C4C6E"/>
    <w:rsid w:val="006C632C"/>
    <w:rsid w:val="006D5D71"/>
    <w:rsid w:val="006E24D2"/>
    <w:rsid w:val="006E5616"/>
    <w:rsid w:val="006E5EF6"/>
    <w:rsid w:val="006F522D"/>
    <w:rsid w:val="006F52A2"/>
    <w:rsid w:val="006F7161"/>
    <w:rsid w:val="00704512"/>
    <w:rsid w:val="007047DF"/>
    <w:rsid w:val="007164E4"/>
    <w:rsid w:val="00716743"/>
    <w:rsid w:val="00720711"/>
    <w:rsid w:val="00721283"/>
    <w:rsid w:val="00721B74"/>
    <w:rsid w:val="00724480"/>
    <w:rsid w:val="00741314"/>
    <w:rsid w:val="007416A3"/>
    <w:rsid w:val="00742031"/>
    <w:rsid w:val="00743B2D"/>
    <w:rsid w:val="00744DA3"/>
    <w:rsid w:val="00745031"/>
    <w:rsid w:val="007466DD"/>
    <w:rsid w:val="00746A59"/>
    <w:rsid w:val="007504A0"/>
    <w:rsid w:val="00753273"/>
    <w:rsid w:val="0075581C"/>
    <w:rsid w:val="007577C9"/>
    <w:rsid w:val="00760162"/>
    <w:rsid w:val="00761E68"/>
    <w:rsid w:val="0076210A"/>
    <w:rsid w:val="007622B3"/>
    <w:rsid w:val="00764481"/>
    <w:rsid w:val="00766A50"/>
    <w:rsid w:val="007709F9"/>
    <w:rsid w:val="00771C57"/>
    <w:rsid w:val="00772083"/>
    <w:rsid w:val="007727CD"/>
    <w:rsid w:val="007740CE"/>
    <w:rsid w:val="0077418B"/>
    <w:rsid w:val="00774D07"/>
    <w:rsid w:val="00774F1A"/>
    <w:rsid w:val="00776CCD"/>
    <w:rsid w:val="00777099"/>
    <w:rsid w:val="00783C8F"/>
    <w:rsid w:val="00784AE6"/>
    <w:rsid w:val="00784F4B"/>
    <w:rsid w:val="00792427"/>
    <w:rsid w:val="00793345"/>
    <w:rsid w:val="00795547"/>
    <w:rsid w:val="007A1FBB"/>
    <w:rsid w:val="007A3B2C"/>
    <w:rsid w:val="007A6DED"/>
    <w:rsid w:val="007B657D"/>
    <w:rsid w:val="007B66E7"/>
    <w:rsid w:val="007C239D"/>
    <w:rsid w:val="007C5EAB"/>
    <w:rsid w:val="007C699F"/>
    <w:rsid w:val="007C6B07"/>
    <w:rsid w:val="007C6EBB"/>
    <w:rsid w:val="007E07D2"/>
    <w:rsid w:val="007E4575"/>
    <w:rsid w:val="007F0AD9"/>
    <w:rsid w:val="007F31C2"/>
    <w:rsid w:val="008031A6"/>
    <w:rsid w:val="008035D8"/>
    <w:rsid w:val="008077F1"/>
    <w:rsid w:val="0081108F"/>
    <w:rsid w:val="008116DD"/>
    <w:rsid w:val="00815865"/>
    <w:rsid w:val="008168EE"/>
    <w:rsid w:val="00820C25"/>
    <w:rsid w:val="00821E0F"/>
    <w:rsid w:val="00821E6F"/>
    <w:rsid w:val="00821FA8"/>
    <w:rsid w:val="0082539A"/>
    <w:rsid w:val="0082600F"/>
    <w:rsid w:val="008301AE"/>
    <w:rsid w:val="00831C99"/>
    <w:rsid w:val="00832EBF"/>
    <w:rsid w:val="0084396B"/>
    <w:rsid w:val="00852158"/>
    <w:rsid w:val="00855B62"/>
    <w:rsid w:val="00856EC7"/>
    <w:rsid w:val="00861D0E"/>
    <w:rsid w:val="00862633"/>
    <w:rsid w:val="008648A3"/>
    <w:rsid w:val="00864E24"/>
    <w:rsid w:val="00865856"/>
    <w:rsid w:val="00872E13"/>
    <w:rsid w:val="00886BB3"/>
    <w:rsid w:val="00890AE9"/>
    <w:rsid w:val="00891E89"/>
    <w:rsid w:val="008A0225"/>
    <w:rsid w:val="008A14BB"/>
    <w:rsid w:val="008A1BF1"/>
    <w:rsid w:val="008A3B4B"/>
    <w:rsid w:val="008A5AE1"/>
    <w:rsid w:val="008B319C"/>
    <w:rsid w:val="008C542A"/>
    <w:rsid w:val="008C6733"/>
    <w:rsid w:val="008C7422"/>
    <w:rsid w:val="008C7DF1"/>
    <w:rsid w:val="008D16A1"/>
    <w:rsid w:val="008D16E2"/>
    <w:rsid w:val="008D1DB5"/>
    <w:rsid w:val="008D3759"/>
    <w:rsid w:val="008D5762"/>
    <w:rsid w:val="008D6328"/>
    <w:rsid w:val="008D6873"/>
    <w:rsid w:val="008D6FBD"/>
    <w:rsid w:val="008E131E"/>
    <w:rsid w:val="008E2A61"/>
    <w:rsid w:val="008F0B37"/>
    <w:rsid w:val="008F10D1"/>
    <w:rsid w:val="008F1EC6"/>
    <w:rsid w:val="008F2132"/>
    <w:rsid w:val="008F52B3"/>
    <w:rsid w:val="008F7436"/>
    <w:rsid w:val="008F79B7"/>
    <w:rsid w:val="00901F8C"/>
    <w:rsid w:val="00902941"/>
    <w:rsid w:val="00903E35"/>
    <w:rsid w:val="00907545"/>
    <w:rsid w:val="0091031B"/>
    <w:rsid w:val="00911849"/>
    <w:rsid w:val="00915107"/>
    <w:rsid w:val="00916687"/>
    <w:rsid w:val="00916EB2"/>
    <w:rsid w:val="00921DC0"/>
    <w:rsid w:val="0092672B"/>
    <w:rsid w:val="009456F5"/>
    <w:rsid w:val="00946B4B"/>
    <w:rsid w:val="00950201"/>
    <w:rsid w:val="00953BBF"/>
    <w:rsid w:val="00955C69"/>
    <w:rsid w:val="00955EA8"/>
    <w:rsid w:val="00957E14"/>
    <w:rsid w:val="00960903"/>
    <w:rsid w:val="00960D76"/>
    <w:rsid w:val="00962A4D"/>
    <w:rsid w:val="00966734"/>
    <w:rsid w:val="0097187E"/>
    <w:rsid w:val="009801BA"/>
    <w:rsid w:val="0098212D"/>
    <w:rsid w:val="0098763F"/>
    <w:rsid w:val="00990B70"/>
    <w:rsid w:val="0099247A"/>
    <w:rsid w:val="00996039"/>
    <w:rsid w:val="009A00D3"/>
    <w:rsid w:val="009A07C7"/>
    <w:rsid w:val="009A1C4A"/>
    <w:rsid w:val="009A26EC"/>
    <w:rsid w:val="009A521F"/>
    <w:rsid w:val="009A5C33"/>
    <w:rsid w:val="009B1199"/>
    <w:rsid w:val="009B11A5"/>
    <w:rsid w:val="009B4E00"/>
    <w:rsid w:val="009B5647"/>
    <w:rsid w:val="009C1CDF"/>
    <w:rsid w:val="009C3762"/>
    <w:rsid w:val="009C78BF"/>
    <w:rsid w:val="009D1180"/>
    <w:rsid w:val="009D1AA5"/>
    <w:rsid w:val="009D25C4"/>
    <w:rsid w:val="009D3C3E"/>
    <w:rsid w:val="009D58D4"/>
    <w:rsid w:val="009E470B"/>
    <w:rsid w:val="009E6937"/>
    <w:rsid w:val="009E7BBF"/>
    <w:rsid w:val="009F077B"/>
    <w:rsid w:val="009F1573"/>
    <w:rsid w:val="009F4F44"/>
    <w:rsid w:val="009F63C5"/>
    <w:rsid w:val="00A03F96"/>
    <w:rsid w:val="00A07089"/>
    <w:rsid w:val="00A10ACD"/>
    <w:rsid w:val="00A16F8A"/>
    <w:rsid w:val="00A17AA1"/>
    <w:rsid w:val="00A21BA5"/>
    <w:rsid w:val="00A2317F"/>
    <w:rsid w:val="00A24FC2"/>
    <w:rsid w:val="00A30B31"/>
    <w:rsid w:val="00A34754"/>
    <w:rsid w:val="00A40891"/>
    <w:rsid w:val="00A40A3F"/>
    <w:rsid w:val="00A419BD"/>
    <w:rsid w:val="00A43EBA"/>
    <w:rsid w:val="00A54888"/>
    <w:rsid w:val="00A56F7E"/>
    <w:rsid w:val="00A637C7"/>
    <w:rsid w:val="00A66E77"/>
    <w:rsid w:val="00A67106"/>
    <w:rsid w:val="00A71322"/>
    <w:rsid w:val="00A742EE"/>
    <w:rsid w:val="00A8082C"/>
    <w:rsid w:val="00A8100E"/>
    <w:rsid w:val="00A84439"/>
    <w:rsid w:val="00A90151"/>
    <w:rsid w:val="00A911FE"/>
    <w:rsid w:val="00A9299F"/>
    <w:rsid w:val="00A95AE3"/>
    <w:rsid w:val="00A95BD9"/>
    <w:rsid w:val="00AA1CB5"/>
    <w:rsid w:val="00AA459E"/>
    <w:rsid w:val="00AA4A3B"/>
    <w:rsid w:val="00AA5602"/>
    <w:rsid w:val="00AB0DA1"/>
    <w:rsid w:val="00AB2926"/>
    <w:rsid w:val="00AB58A6"/>
    <w:rsid w:val="00AB7114"/>
    <w:rsid w:val="00AC0985"/>
    <w:rsid w:val="00AC0DB7"/>
    <w:rsid w:val="00AC2C1C"/>
    <w:rsid w:val="00AC3FF8"/>
    <w:rsid w:val="00AD09E9"/>
    <w:rsid w:val="00AE0AE8"/>
    <w:rsid w:val="00AE10E4"/>
    <w:rsid w:val="00AE26BA"/>
    <w:rsid w:val="00AE296E"/>
    <w:rsid w:val="00AE3AE6"/>
    <w:rsid w:val="00AF1D33"/>
    <w:rsid w:val="00AF40FC"/>
    <w:rsid w:val="00AF6A59"/>
    <w:rsid w:val="00B013B8"/>
    <w:rsid w:val="00B06C61"/>
    <w:rsid w:val="00B07C82"/>
    <w:rsid w:val="00B10F27"/>
    <w:rsid w:val="00B13F10"/>
    <w:rsid w:val="00B24866"/>
    <w:rsid w:val="00B27FCD"/>
    <w:rsid w:val="00B30718"/>
    <w:rsid w:val="00B3219B"/>
    <w:rsid w:val="00B340AE"/>
    <w:rsid w:val="00B36E4A"/>
    <w:rsid w:val="00B4348A"/>
    <w:rsid w:val="00B45314"/>
    <w:rsid w:val="00B51A2B"/>
    <w:rsid w:val="00B54042"/>
    <w:rsid w:val="00B540BE"/>
    <w:rsid w:val="00B552A5"/>
    <w:rsid w:val="00B55308"/>
    <w:rsid w:val="00B55721"/>
    <w:rsid w:val="00B60380"/>
    <w:rsid w:val="00B610FB"/>
    <w:rsid w:val="00B65C8A"/>
    <w:rsid w:val="00B67B73"/>
    <w:rsid w:val="00B701CB"/>
    <w:rsid w:val="00B709C8"/>
    <w:rsid w:val="00B7633F"/>
    <w:rsid w:val="00B81A10"/>
    <w:rsid w:val="00B81E5C"/>
    <w:rsid w:val="00B8653E"/>
    <w:rsid w:val="00B91EC4"/>
    <w:rsid w:val="00B94985"/>
    <w:rsid w:val="00B967B4"/>
    <w:rsid w:val="00BA64DF"/>
    <w:rsid w:val="00BA659D"/>
    <w:rsid w:val="00BB00F0"/>
    <w:rsid w:val="00BB036F"/>
    <w:rsid w:val="00BB1196"/>
    <w:rsid w:val="00BB1D17"/>
    <w:rsid w:val="00BB5B97"/>
    <w:rsid w:val="00BB7AF4"/>
    <w:rsid w:val="00BC1C89"/>
    <w:rsid w:val="00BD5F30"/>
    <w:rsid w:val="00BD5FF1"/>
    <w:rsid w:val="00BE1A8A"/>
    <w:rsid w:val="00BE2DDF"/>
    <w:rsid w:val="00BE794F"/>
    <w:rsid w:val="00BF5B16"/>
    <w:rsid w:val="00C0069B"/>
    <w:rsid w:val="00C022A4"/>
    <w:rsid w:val="00C02CD2"/>
    <w:rsid w:val="00C04712"/>
    <w:rsid w:val="00C10C12"/>
    <w:rsid w:val="00C14F91"/>
    <w:rsid w:val="00C166CE"/>
    <w:rsid w:val="00C17FD0"/>
    <w:rsid w:val="00C210E9"/>
    <w:rsid w:val="00C24415"/>
    <w:rsid w:val="00C26061"/>
    <w:rsid w:val="00C275F6"/>
    <w:rsid w:val="00C3055E"/>
    <w:rsid w:val="00C32EE2"/>
    <w:rsid w:val="00C35E0E"/>
    <w:rsid w:val="00C44E51"/>
    <w:rsid w:val="00C47213"/>
    <w:rsid w:val="00C531A1"/>
    <w:rsid w:val="00C5378B"/>
    <w:rsid w:val="00C54BD5"/>
    <w:rsid w:val="00C55791"/>
    <w:rsid w:val="00C56178"/>
    <w:rsid w:val="00C5795D"/>
    <w:rsid w:val="00C615AD"/>
    <w:rsid w:val="00C62411"/>
    <w:rsid w:val="00C62C56"/>
    <w:rsid w:val="00C62D20"/>
    <w:rsid w:val="00C64445"/>
    <w:rsid w:val="00C6627E"/>
    <w:rsid w:val="00C6777F"/>
    <w:rsid w:val="00C75834"/>
    <w:rsid w:val="00C81248"/>
    <w:rsid w:val="00C81AC5"/>
    <w:rsid w:val="00C8275A"/>
    <w:rsid w:val="00C8407A"/>
    <w:rsid w:val="00C85AE8"/>
    <w:rsid w:val="00C94416"/>
    <w:rsid w:val="00CA30A6"/>
    <w:rsid w:val="00CB23AD"/>
    <w:rsid w:val="00CB36B5"/>
    <w:rsid w:val="00CC0AF8"/>
    <w:rsid w:val="00CC1A8D"/>
    <w:rsid w:val="00CD267F"/>
    <w:rsid w:val="00CD4414"/>
    <w:rsid w:val="00CD57AD"/>
    <w:rsid w:val="00CD5B77"/>
    <w:rsid w:val="00CD71F5"/>
    <w:rsid w:val="00CD778D"/>
    <w:rsid w:val="00CE3200"/>
    <w:rsid w:val="00CE5195"/>
    <w:rsid w:val="00CE5251"/>
    <w:rsid w:val="00CE5416"/>
    <w:rsid w:val="00CF2264"/>
    <w:rsid w:val="00CF7028"/>
    <w:rsid w:val="00D026C6"/>
    <w:rsid w:val="00D04DB8"/>
    <w:rsid w:val="00D07004"/>
    <w:rsid w:val="00D12341"/>
    <w:rsid w:val="00D12F4C"/>
    <w:rsid w:val="00D30671"/>
    <w:rsid w:val="00D319CD"/>
    <w:rsid w:val="00D321A0"/>
    <w:rsid w:val="00D330A6"/>
    <w:rsid w:val="00D41658"/>
    <w:rsid w:val="00D4219A"/>
    <w:rsid w:val="00D427D5"/>
    <w:rsid w:val="00D43813"/>
    <w:rsid w:val="00D45001"/>
    <w:rsid w:val="00D45644"/>
    <w:rsid w:val="00D47BA5"/>
    <w:rsid w:val="00D574EB"/>
    <w:rsid w:val="00D61BC8"/>
    <w:rsid w:val="00D62DD6"/>
    <w:rsid w:val="00D63A3C"/>
    <w:rsid w:val="00D63F41"/>
    <w:rsid w:val="00D6506C"/>
    <w:rsid w:val="00D655FA"/>
    <w:rsid w:val="00D74B9D"/>
    <w:rsid w:val="00D752F3"/>
    <w:rsid w:val="00D82D70"/>
    <w:rsid w:val="00D908F6"/>
    <w:rsid w:val="00D90D81"/>
    <w:rsid w:val="00D91776"/>
    <w:rsid w:val="00D91A67"/>
    <w:rsid w:val="00D92F08"/>
    <w:rsid w:val="00D97F2C"/>
    <w:rsid w:val="00DA1C4D"/>
    <w:rsid w:val="00DA1F55"/>
    <w:rsid w:val="00DA490B"/>
    <w:rsid w:val="00DA50D5"/>
    <w:rsid w:val="00DB2380"/>
    <w:rsid w:val="00DB3348"/>
    <w:rsid w:val="00DB68DE"/>
    <w:rsid w:val="00DC0DAA"/>
    <w:rsid w:val="00DC22BC"/>
    <w:rsid w:val="00DD1BDB"/>
    <w:rsid w:val="00DD53DF"/>
    <w:rsid w:val="00DE054C"/>
    <w:rsid w:val="00DE23A1"/>
    <w:rsid w:val="00DE779B"/>
    <w:rsid w:val="00DE791A"/>
    <w:rsid w:val="00DE7E5D"/>
    <w:rsid w:val="00DF04CB"/>
    <w:rsid w:val="00DF2A92"/>
    <w:rsid w:val="00DF2DA8"/>
    <w:rsid w:val="00DF3E1B"/>
    <w:rsid w:val="00DF3FB5"/>
    <w:rsid w:val="00DF4201"/>
    <w:rsid w:val="00DF6041"/>
    <w:rsid w:val="00DF69A4"/>
    <w:rsid w:val="00E00127"/>
    <w:rsid w:val="00E05D99"/>
    <w:rsid w:val="00E070A2"/>
    <w:rsid w:val="00E105C4"/>
    <w:rsid w:val="00E10A3F"/>
    <w:rsid w:val="00E10BA8"/>
    <w:rsid w:val="00E16F93"/>
    <w:rsid w:val="00E200FB"/>
    <w:rsid w:val="00E21B4A"/>
    <w:rsid w:val="00E23318"/>
    <w:rsid w:val="00E25D87"/>
    <w:rsid w:val="00E2649F"/>
    <w:rsid w:val="00E3337A"/>
    <w:rsid w:val="00E35A99"/>
    <w:rsid w:val="00E40B44"/>
    <w:rsid w:val="00E47BE0"/>
    <w:rsid w:val="00E55A19"/>
    <w:rsid w:val="00E56688"/>
    <w:rsid w:val="00E56D50"/>
    <w:rsid w:val="00E63AFB"/>
    <w:rsid w:val="00E6407D"/>
    <w:rsid w:val="00E65D9D"/>
    <w:rsid w:val="00E71358"/>
    <w:rsid w:val="00E720D9"/>
    <w:rsid w:val="00E7270A"/>
    <w:rsid w:val="00E74A7F"/>
    <w:rsid w:val="00E7566B"/>
    <w:rsid w:val="00E76917"/>
    <w:rsid w:val="00E76AED"/>
    <w:rsid w:val="00E84818"/>
    <w:rsid w:val="00E873EF"/>
    <w:rsid w:val="00E90745"/>
    <w:rsid w:val="00E94051"/>
    <w:rsid w:val="00E96ADD"/>
    <w:rsid w:val="00E97237"/>
    <w:rsid w:val="00EA7B17"/>
    <w:rsid w:val="00EB0EE6"/>
    <w:rsid w:val="00EB7572"/>
    <w:rsid w:val="00EC2E7C"/>
    <w:rsid w:val="00EC2F5F"/>
    <w:rsid w:val="00EC3E37"/>
    <w:rsid w:val="00EC66DE"/>
    <w:rsid w:val="00ED79B6"/>
    <w:rsid w:val="00EE14AF"/>
    <w:rsid w:val="00EF13C4"/>
    <w:rsid w:val="00EF2AC7"/>
    <w:rsid w:val="00EF7B90"/>
    <w:rsid w:val="00F01744"/>
    <w:rsid w:val="00F01DFC"/>
    <w:rsid w:val="00F0229E"/>
    <w:rsid w:val="00F025F0"/>
    <w:rsid w:val="00F10436"/>
    <w:rsid w:val="00F14FDE"/>
    <w:rsid w:val="00F2323A"/>
    <w:rsid w:val="00F249B1"/>
    <w:rsid w:val="00F31C6E"/>
    <w:rsid w:val="00F3288B"/>
    <w:rsid w:val="00F3663A"/>
    <w:rsid w:val="00F46D10"/>
    <w:rsid w:val="00F5185B"/>
    <w:rsid w:val="00F522CD"/>
    <w:rsid w:val="00F52B20"/>
    <w:rsid w:val="00F547AE"/>
    <w:rsid w:val="00F54E67"/>
    <w:rsid w:val="00F55061"/>
    <w:rsid w:val="00F56A8C"/>
    <w:rsid w:val="00F6002B"/>
    <w:rsid w:val="00F60963"/>
    <w:rsid w:val="00F646C5"/>
    <w:rsid w:val="00F64B79"/>
    <w:rsid w:val="00F64BF2"/>
    <w:rsid w:val="00F66E00"/>
    <w:rsid w:val="00F6770D"/>
    <w:rsid w:val="00F67D79"/>
    <w:rsid w:val="00F67EED"/>
    <w:rsid w:val="00F67F57"/>
    <w:rsid w:val="00F70526"/>
    <w:rsid w:val="00F9140D"/>
    <w:rsid w:val="00F92D56"/>
    <w:rsid w:val="00F94470"/>
    <w:rsid w:val="00F97C0C"/>
    <w:rsid w:val="00FA2042"/>
    <w:rsid w:val="00FA7B2D"/>
    <w:rsid w:val="00FB524A"/>
    <w:rsid w:val="00FB560E"/>
    <w:rsid w:val="00FB5D97"/>
    <w:rsid w:val="00FB644E"/>
    <w:rsid w:val="00FB747A"/>
    <w:rsid w:val="00FC1A0F"/>
    <w:rsid w:val="00FC3032"/>
    <w:rsid w:val="00FC4DBA"/>
    <w:rsid w:val="00FD2632"/>
    <w:rsid w:val="00FD3141"/>
    <w:rsid w:val="00FD60DA"/>
    <w:rsid w:val="00FD6C7A"/>
    <w:rsid w:val="00FD6FC4"/>
    <w:rsid w:val="00FE0740"/>
    <w:rsid w:val="00FE07F2"/>
    <w:rsid w:val="00FE1A5E"/>
    <w:rsid w:val="00FE40D7"/>
    <w:rsid w:val="00FE452A"/>
    <w:rsid w:val="00FE7CA8"/>
    <w:rsid w:val="00FF02A9"/>
    <w:rsid w:val="00FF2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91C6C6"/>
  <w15:chartTrackingRefBased/>
  <w15:docId w15:val="{BF89CF75-D3FA-6F49-ACAC-5CE109A6A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4445"/>
  </w:style>
  <w:style w:type="paragraph" w:styleId="Stopka">
    <w:name w:val="footer"/>
    <w:basedOn w:val="Normalny"/>
    <w:link w:val="Stopka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4445"/>
  </w:style>
  <w:style w:type="character" w:styleId="Hipercze">
    <w:name w:val="Hyperlink"/>
    <w:basedOn w:val="Domylnaczcionkaakapitu"/>
    <w:uiPriority w:val="99"/>
    <w:unhideWhenUsed/>
    <w:rsid w:val="0074203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2031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031A6"/>
    <w:pPr>
      <w:spacing w:after="160" w:line="278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9299F"/>
    <w:rPr>
      <w:rFonts w:ascii="Times New Roman" w:hAnsi="Times New Roman" w:cs="Times New Roman"/>
    </w:rPr>
  </w:style>
  <w:style w:type="paragraph" w:customStyle="1" w:styleId="xxmsolistparagraph">
    <w:name w:val="x_xmsolistparagraph"/>
    <w:basedOn w:val="Normalny"/>
    <w:rsid w:val="00C14F91"/>
    <w:pPr>
      <w:ind w:left="720"/>
    </w:pPr>
    <w:rPr>
      <w:rFonts w:ascii="Aptos" w:hAnsi="Aptos" w:cs="Calibri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B2D5D"/>
    <w:rPr>
      <w:b/>
      <w:bCs/>
    </w:rPr>
  </w:style>
  <w:style w:type="paragraph" w:styleId="Poprawka">
    <w:name w:val="Revision"/>
    <w:hidden/>
    <w:uiPriority w:val="99"/>
    <w:semiHidden/>
    <w:rsid w:val="0076210A"/>
  </w:style>
  <w:style w:type="character" w:styleId="Odwoaniedokomentarza">
    <w:name w:val="annotation reference"/>
    <w:basedOn w:val="Domylnaczcionkaakapitu"/>
    <w:uiPriority w:val="99"/>
    <w:semiHidden/>
    <w:unhideWhenUsed/>
    <w:rsid w:val="008F52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F52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F52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52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52B3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962A4D"/>
    <w:pPr>
      <w:spacing w:after="120" w:line="259" w:lineRule="auto"/>
    </w:pPr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62A4D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59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94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90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6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1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7789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6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70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1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47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555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0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026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638632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6383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840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80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6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56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050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690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529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382117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7253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081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58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56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2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twitter.com/ZwiazekLeasing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linkedin.com/company/zwiazek-polskiego-leasingu-zpl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leasing.org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1A267-4224-4FA0-A5D4-CCF935997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5</Pages>
  <Words>1066</Words>
  <Characters>6396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Urszula.Pietraszek</dc:creator>
  <cp:keywords/>
  <dc:description/>
  <cp:lastModifiedBy>Katarzyna Ostrowska</cp:lastModifiedBy>
  <cp:revision>198</cp:revision>
  <dcterms:created xsi:type="dcterms:W3CDTF">2025-08-04T13:31:00Z</dcterms:created>
  <dcterms:modified xsi:type="dcterms:W3CDTF">2026-04-27T18:39:00Z</dcterms:modified>
</cp:coreProperties>
</file>