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24021" w14:textId="303E9565" w:rsidR="005E6FF1" w:rsidRPr="004E419D" w:rsidRDefault="00AF20E6" w:rsidP="007D4AF0">
      <w:pPr>
        <w:pStyle w:val="Tekstpodstawowy"/>
        <w:spacing w:line="276" w:lineRule="auto"/>
        <w:jc w:val="both"/>
        <w:rPr>
          <w:rFonts w:cstheme="minorHAnsi"/>
          <w:sz w:val="24"/>
          <w:szCs w:val="24"/>
        </w:rPr>
      </w:pPr>
      <w:r>
        <w:rPr>
          <w:rFonts w:cstheme="minorHAnsi"/>
          <w:sz w:val="24"/>
          <w:szCs w:val="24"/>
        </w:rPr>
        <w:t xml:space="preserve"> </w:t>
      </w:r>
      <w:r w:rsidR="00133576" w:rsidRPr="004E419D">
        <w:rPr>
          <w:rFonts w:cstheme="minorHAnsi"/>
          <w:sz w:val="24"/>
          <w:szCs w:val="24"/>
        </w:rPr>
        <w:t>Informacja prasowa</w:t>
      </w:r>
    </w:p>
    <w:p w14:paraId="47F2E5BF" w14:textId="7907434E" w:rsidR="00E36161" w:rsidRDefault="00D80A96" w:rsidP="007D4AF0">
      <w:pPr>
        <w:spacing w:line="276" w:lineRule="auto"/>
        <w:jc w:val="both"/>
        <w:rPr>
          <w:rFonts w:cstheme="minorHAnsi"/>
          <w:b/>
          <w:bCs/>
          <w:color w:val="0070C0"/>
          <w:sz w:val="32"/>
          <w:szCs w:val="32"/>
        </w:rPr>
      </w:pPr>
      <w:r w:rsidRPr="004E419D">
        <w:rPr>
          <w:rFonts w:cstheme="minorHAnsi"/>
          <w:b/>
          <w:bCs/>
          <w:color w:val="0070C0"/>
          <w:sz w:val="32"/>
          <w:szCs w:val="32"/>
        </w:rPr>
        <w:t xml:space="preserve">Prawie 62 mld zł na inwestycje przedsiębiorstw z leasingiem </w:t>
      </w:r>
    </w:p>
    <w:p w14:paraId="7DBA46FF" w14:textId="77777777" w:rsidR="00504EBD" w:rsidRPr="004E419D" w:rsidRDefault="00504EBD" w:rsidP="007D4AF0">
      <w:pPr>
        <w:spacing w:line="276" w:lineRule="auto"/>
        <w:jc w:val="both"/>
        <w:rPr>
          <w:rFonts w:cstheme="minorHAnsi"/>
          <w:b/>
          <w:bCs/>
          <w:color w:val="0070C0"/>
          <w:sz w:val="32"/>
          <w:szCs w:val="32"/>
        </w:rPr>
      </w:pPr>
    </w:p>
    <w:p w14:paraId="4C64B6F7" w14:textId="7AAC4943" w:rsidR="00D80A96" w:rsidRPr="00504EBD" w:rsidRDefault="00D80A96" w:rsidP="007D4AF0">
      <w:pPr>
        <w:pStyle w:val="Akapitzlist"/>
        <w:numPr>
          <w:ilvl w:val="0"/>
          <w:numId w:val="32"/>
        </w:numPr>
        <w:spacing w:line="276" w:lineRule="auto"/>
        <w:jc w:val="both"/>
        <w:rPr>
          <w:rFonts w:ascii="Calibri" w:hAnsi="Calibri" w:cs="Calibri"/>
          <w:b/>
          <w:bCs/>
          <w:sz w:val="28"/>
          <w:szCs w:val="28"/>
        </w:rPr>
      </w:pPr>
      <w:r w:rsidRPr="00504EBD">
        <w:rPr>
          <w:rFonts w:ascii="Calibri" w:hAnsi="Calibri" w:cs="Calibri"/>
          <w:b/>
          <w:bCs/>
          <w:sz w:val="28"/>
          <w:szCs w:val="28"/>
        </w:rPr>
        <w:t>Firmy leasingowe sfinansowały w I półroczu 2026 r. inwestycje przedsiębiorstw o wartości 61,</w:t>
      </w:r>
      <w:r w:rsidR="00603584" w:rsidRPr="00504EBD">
        <w:rPr>
          <w:rFonts w:ascii="Calibri" w:hAnsi="Calibri" w:cs="Calibri"/>
          <w:b/>
          <w:bCs/>
          <w:sz w:val="28"/>
          <w:szCs w:val="28"/>
        </w:rPr>
        <w:t>9</w:t>
      </w:r>
      <w:r w:rsidRPr="00504EBD">
        <w:rPr>
          <w:rFonts w:ascii="Calibri" w:hAnsi="Calibri" w:cs="Calibri"/>
          <w:b/>
          <w:bCs/>
          <w:sz w:val="28"/>
          <w:szCs w:val="28"/>
        </w:rPr>
        <w:t xml:space="preserve"> mld zł, o </w:t>
      </w:r>
      <w:r w:rsidR="00EA1874" w:rsidRPr="00504EBD">
        <w:rPr>
          <w:rFonts w:ascii="Calibri" w:hAnsi="Calibri" w:cs="Calibri"/>
          <w:b/>
          <w:bCs/>
          <w:sz w:val="28"/>
          <w:szCs w:val="28"/>
        </w:rPr>
        <w:t>8,</w:t>
      </w:r>
      <w:r w:rsidRPr="00504EBD">
        <w:rPr>
          <w:rFonts w:ascii="Calibri" w:hAnsi="Calibri" w:cs="Calibri"/>
          <w:b/>
          <w:bCs/>
          <w:sz w:val="28"/>
          <w:szCs w:val="28"/>
        </w:rPr>
        <w:t>9 proc. więcej niż rok wcześniej</w:t>
      </w:r>
    </w:p>
    <w:p w14:paraId="009357D4" w14:textId="77777777" w:rsidR="0020244F" w:rsidRPr="00504EBD" w:rsidRDefault="0020244F" w:rsidP="007D4AF0">
      <w:pPr>
        <w:pStyle w:val="Akapitzlist"/>
        <w:numPr>
          <w:ilvl w:val="0"/>
          <w:numId w:val="32"/>
        </w:numPr>
        <w:spacing w:line="276" w:lineRule="auto"/>
        <w:jc w:val="both"/>
        <w:rPr>
          <w:rFonts w:ascii="Calibri" w:hAnsi="Calibri" w:cs="Calibri"/>
          <w:b/>
          <w:bCs/>
          <w:sz w:val="28"/>
          <w:szCs w:val="28"/>
        </w:rPr>
      </w:pPr>
      <w:r w:rsidRPr="00504EBD">
        <w:rPr>
          <w:rFonts w:ascii="Calibri" w:hAnsi="Calibri" w:cs="Calibri"/>
          <w:b/>
          <w:bCs/>
          <w:sz w:val="28"/>
          <w:szCs w:val="28"/>
        </w:rPr>
        <w:t>Najszybciej rosło finansowanie pojazdów ciężkich (+25,5 proc.)</w:t>
      </w:r>
    </w:p>
    <w:p w14:paraId="2F9D2134" w14:textId="77777777" w:rsidR="00D80A96" w:rsidRPr="00504EBD" w:rsidRDefault="00D80A96" w:rsidP="007D4AF0">
      <w:pPr>
        <w:pStyle w:val="Akapitzlist"/>
        <w:numPr>
          <w:ilvl w:val="0"/>
          <w:numId w:val="32"/>
        </w:numPr>
        <w:spacing w:line="276" w:lineRule="auto"/>
        <w:jc w:val="both"/>
        <w:rPr>
          <w:rFonts w:ascii="Calibri" w:hAnsi="Calibri" w:cs="Calibri"/>
          <w:b/>
          <w:bCs/>
          <w:sz w:val="28"/>
          <w:szCs w:val="28"/>
        </w:rPr>
      </w:pPr>
      <w:r w:rsidRPr="00504EBD">
        <w:rPr>
          <w:rFonts w:ascii="Calibri" w:hAnsi="Calibri" w:cs="Calibri"/>
          <w:b/>
          <w:bCs/>
          <w:sz w:val="28"/>
          <w:szCs w:val="28"/>
        </w:rPr>
        <w:t>Rynek maszyn i urządzeń wzrósł o 1,7 proc., jednak sytuacja poszczególnych branż pozostaje zróżnicowana</w:t>
      </w:r>
    </w:p>
    <w:p w14:paraId="3A0FA2C8" w14:textId="77777777" w:rsidR="00D80A96" w:rsidRPr="00504EBD" w:rsidRDefault="00D80A96" w:rsidP="007D4AF0">
      <w:pPr>
        <w:pStyle w:val="Akapitzlist"/>
        <w:numPr>
          <w:ilvl w:val="0"/>
          <w:numId w:val="32"/>
        </w:numPr>
        <w:spacing w:line="276" w:lineRule="auto"/>
        <w:jc w:val="both"/>
        <w:rPr>
          <w:rFonts w:ascii="Calibri" w:hAnsi="Calibri" w:cs="Calibri"/>
          <w:b/>
          <w:bCs/>
          <w:sz w:val="28"/>
          <w:szCs w:val="28"/>
        </w:rPr>
      </w:pPr>
      <w:r w:rsidRPr="00504EBD">
        <w:rPr>
          <w:rFonts w:ascii="Calibri" w:hAnsi="Calibri" w:cs="Calibri"/>
          <w:b/>
          <w:bCs/>
          <w:sz w:val="28"/>
          <w:szCs w:val="28"/>
        </w:rPr>
        <w:t>Związek Polskiego Leasingu podtrzymuje prognozę wzrostu rynku leasingu i pożyczki leasingowej na 2026 rok o 8,</w:t>
      </w:r>
      <w:r w:rsidR="00A707C3" w:rsidRPr="00504EBD">
        <w:rPr>
          <w:rFonts w:ascii="Calibri" w:hAnsi="Calibri" w:cs="Calibri"/>
          <w:b/>
          <w:bCs/>
          <w:sz w:val="28"/>
          <w:szCs w:val="28"/>
        </w:rPr>
        <w:t>4</w:t>
      </w:r>
      <w:r w:rsidR="001A4E42" w:rsidRPr="00504EBD">
        <w:rPr>
          <w:rFonts w:ascii="Calibri" w:hAnsi="Calibri" w:cs="Calibri"/>
          <w:b/>
          <w:bCs/>
          <w:sz w:val="28"/>
          <w:szCs w:val="28"/>
        </w:rPr>
        <w:t xml:space="preserve"> </w:t>
      </w:r>
      <w:r w:rsidRPr="00504EBD">
        <w:rPr>
          <w:rFonts w:ascii="Calibri" w:hAnsi="Calibri" w:cs="Calibri"/>
          <w:b/>
          <w:bCs/>
          <w:sz w:val="28"/>
          <w:szCs w:val="28"/>
        </w:rPr>
        <w:t>proc.</w:t>
      </w:r>
      <w:r w:rsidR="0042252B" w:rsidRPr="00504EBD">
        <w:rPr>
          <w:rFonts w:ascii="Calibri" w:hAnsi="Calibri" w:cs="Calibri"/>
          <w:b/>
          <w:bCs/>
          <w:sz w:val="28"/>
          <w:szCs w:val="28"/>
        </w:rPr>
        <w:t>, do 129,</w:t>
      </w:r>
      <w:r w:rsidR="00A707C3" w:rsidRPr="00504EBD">
        <w:rPr>
          <w:rFonts w:ascii="Calibri" w:hAnsi="Calibri" w:cs="Calibri"/>
          <w:b/>
          <w:bCs/>
          <w:sz w:val="28"/>
          <w:szCs w:val="28"/>
        </w:rPr>
        <w:t>5</w:t>
      </w:r>
      <w:r w:rsidR="0042252B" w:rsidRPr="00504EBD">
        <w:rPr>
          <w:rFonts w:ascii="Calibri" w:hAnsi="Calibri" w:cs="Calibri"/>
          <w:b/>
          <w:bCs/>
          <w:sz w:val="28"/>
          <w:szCs w:val="28"/>
        </w:rPr>
        <w:t xml:space="preserve"> mld zł</w:t>
      </w:r>
    </w:p>
    <w:p w14:paraId="51999E47" w14:textId="77777777" w:rsidR="00D80A96" w:rsidRPr="004E419D" w:rsidRDefault="00D80A96" w:rsidP="007D4AF0">
      <w:pPr>
        <w:pStyle w:val="Akapitzlist"/>
        <w:spacing w:line="276" w:lineRule="auto"/>
        <w:jc w:val="both"/>
        <w:rPr>
          <w:rFonts w:ascii="Calibri" w:hAnsi="Calibri" w:cs="Calibri"/>
          <w:b/>
          <w:bCs/>
        </w:rPr>
      </w:pPr>
    </w:p>
    <w:p w14:paraId="0D59ED60" w14:textId="1B586454" w:rsidR="00C2040F" w:rsidRPr="004E419D" w:rsidRDefault="005E6FF1" w:rsidP="00BE5863">
      <w:pPr>
        <w:spacing w:before="240" w:after="240" w:line="276" w:lineRule="auto"/>
        <w:jc w:val="both"/>
        <w:rPr>
          <w:rFonts w:cstheme="minorHAnsi"/>
          <w:sz w:val="22"/>
          <w:szCs w:val="22"/>
        </w:rPr>
      </w:pPr>
      <w:r w:rsidRPr="004E419D">
        <w:rPr>
          <w:rFonts w:ascii="Calibri" w:hAnsi="Calibri" w:cs="Calibri"/>
          <w:b/>
          <w:bCs/>
          <w:sz w:val="20"/>
          <w:szCs w:val="20"/>
        </w:rPr>
        <w:t xml:space="preserve">Warszawa, </w:t>
      </w:r>
      <w:r w:rsidR="004D410F" w:rsidRPr="004E419D">
        <w:rPr>
          <w:rFonts w:ascii="Calibri" w:hAnsi="Calibri" w:cs="Calibri"/>
          <w:b/>
          <w:bCs/>
          <w:sz w:val="20"/>
          <w:szCs w:val="20"/>
        </w:rPr>
        <w:t xml:space="preserve">6 sierpnia </w:t>
      </w:r>
      <w:r w:rsidRPr="004E419D">
        <w:rPr>
          <w:rFonts w:ascii="Calibri" w:hAnsi="Calibri" w:cs="Calibri"/>
          <w:b/>
          <w:bCs/>
          <w:sz w:val="20"/>
          <w:szCs w:val="20"/>
        </w:rPr>
        <w:t xml:space="preserve">2026 r. </w:t>
      </w:r>
      <w:r w:rsidR="00743B2D" w:rsidRPr="004E419D">
        <w:rPr>
          <w:rFonts w:ascii="Calibri" w:hAnsi="Calibri" w:cs="Calibri"/>
          <w:sz w:val="20"/>
          <w:szCs w:val="20"/>
        </w:rPr>
        <w:t xml:space="preserve">– </w:t>
      </w:r>
      <w:r w:rsidR="00C2040F" w:rsidRPr="004E419D">
        <w:rPr>
          <w:rFonts w:cstheme="minorHAnsi"/>
          <w:sz w:val="22"/>
          <w:szCs w:val="22"/>
        </w:rPr>
        <w:t>Firmy leasingowe sfinansowały w pierwszym półroczu 2026 r. inwestycje przedsiębiorstw o łącznej wartości 61,</w:t>
      </w:r>
      <w:r w:rsidR="00011938" w:rsidRPr="004E419D">
        <w:rPr>
          <w:rFonts w:cstheme="minorHAnsi"/>
          <w:sz w:val="22"/>
          <w:szCs w:val="22"/>
        </w:rPr>
        <w:t>9</w:t>
      </w:r>
      <w:r w:rsidR="00C2040F" w:rsidRPr="004E419D">
        <w:rPr>
          <w:rFonts w:cstheme="minorHAnsi"/>
          <w:sz w:val="22"/>
          <w:szCs w:val="22"/>
        </w:rPr>
        <w:t xml:space="preserve"> mld zł, wobec 56,</w:t>
      </w:r>
      <w:r w:rsidR="00AA19DE" w:rsidRPr="004E419D">
        <w:rPr>
          <w:rFonts w:cstheme="minorHAnsi"/>
          <w:sz w:val="22"/>
          <w:szCs w:val="22"/>
        </w:rPr>
        <w:t>8</w:t>
      </w:r>
      <w:r w:rsidR="00C2040F" w:rsidRPr="004E419D">
        <w:rPr>
          <w:rFonts w:cstheme="minorHAnsi"/>
          <w:sz w:val="22"/>
          <w:szCs w:val="22"/>
        </w:rPr>
        <w:t xml:space="preserve"> mld zł rok wcześniej</w:t>
      </w:r>
      <w:r w:rsidR="00BC5168" w:rsidRPr="004E419D">
        <w:rPr>
          <w:rFonts w:cstheme="minorHAnsi"/>
          <w:sz w:val="22"/>
          <w:szCs w:val="22"/>
        </w:rPr>
        <w:t xml:space="preserve"> – wynika z danych Związku Polskiego Leasingu (ZPL)</w:t>
      </w:r>
      <w:r w:rsidR="00C2040F" w:rsidRPr="004E419D">
        <w:rPr>
          <w:rFonts w:cstheme="minorHAnsi"/>
          <w:sz w:val="22"/>
          <w:szCs w:val="22"/>
        </w:rPr>
        <w:t xml:space="preserve">. Oznacza to wzrost rynku o </w:t>
      </w:r>
      <w:r w:rsidR="00EA1874" w:rsidRPr="004E419D">
        <w:rPr>
          <w:rFonts w:cstheme="minorHAnsi"/>
          <w:sz w:val="22"/>
          <w:szCs w:val="22"/>
        </w:rPr>
        <w:t xml:space="preserve">prawie </w:t>
      </w:r>
      <w:r w:rsidR="00C2040F" w:rsidRPr="004E419D">
        <w:rPr>
          <w:rFonts w:cstheme="minorHAnsi"/>
          <w:sz w:val="22"/>
          <w:szCs w:val="22"/>
        </w:rPr>
        <w:t xml:space="preserve">9 proc. </w:t>
      </w:r>
      <w:r w:rsidR="00E06E43" w:rsidRPr="004E419D">
        <w:rPr>
          <w:rFonts w:cstheme="minorHAnsi"/>
          <w:sz w:val="22"/>
          <w:szCs w:val="22"/>
        </w:rPr>
        <w:t xml:space="preserve">Zdecydowaną większość finansowanych inwestycji stanowiły ruchomości. </w:t>
      </w:r>
      <w:r w:rsidR="00BE5863" w:rsidRPr="004E419D">
        <w:rPr>
          <w:rFonts w:cstheme="minorHAnsi"/>
          <w:sz w:val="22"/>
          <w:szCs w:val="22"/>
        </w:rPr>
        <w:t xml:space="preserve">W pierwszym półroczu ich finansowanie osiągnęło wartość 61,8 mld zł, podczas gdy finansowanie nieruchomości wyniosło 109,1 mln zł. </w:t>
      </w:r>
      <w:r w:rsidR="00C2040F" w:rsidRPr="004E419D">
        <w:rPr>
          <w:rFonts w:cstheme="minorHAnsi"/>
          <w:sz w:val="22"/>
          <w:szCs w:val="22"/>
        </w:rPr>
        <w:t>Największy wpływ na wynik pierwszego półrocza miały inwestycje w pojazdy, szczególnie w segmencie transportu ciężkiego. Z kolei rynek maszyn i urządzeń utrzymał dodatnią dynamikę, choć aktywność inwestycyjna przedsiębiorców wyraźnie różniła się pomiędzy poszczególnymi branżami.</w:t>
      </w:r>
    </w:p>
    <w:p w14:paraId="2E16A6DB" w14:textId="68DB3E54" w:rsidR="00C2040F" w:rsidRPr="004E419D" w:rsidRDefault="00C2040F" w:rsidP="007D4AF0">
      <w:pPr>
        <w:spacing w:before="240" w:after="240" w:line="276" w:lineRule="auto"/>
        <w:jc w:val="both"/>
        <w:rPr>
          <w:rFonts w:cstheme="minorHAnsi"/>
          <w:sz w:val="22"/>
          <w:szCs w:val="22"/>
        </w:rPr>
      </w:pPr>
      <w:r w:rsidRPr="004E419D">
        <w:rPr>
          <w:rFonts w:cstheme="minorHAnsi"/>
          <w:sz w:val="22"/>
          <w:szCs w:val="22"/>
        </w:rPr>
        <w:t xml:space="preserve">– </w:t>
      </w:r>
      <w:r w:rsidR="009375B9" w:rsidRPr="004E419D">
        <w:rPr>
          <w:rFonts w:cstheme="minorHAnsi"/>
          <w:i/>
          <w:iCs/>
          <w:sz w:val="22"/>
          <w:szCs w:val="22"/>
        </w:rPr>
        <w:t xml:space="preserve">Pierwsze półrocze przyniosło solidny wzrost rynku leasingu i pożyczki leasingowej. Po bardzo dobrym pierwszym kwartale dynamika rynku w drugim kwartale była nieco niższa, jednak utrzymała się na dodatnim poziomie. To pokazuje, że przedsiębiorcy nadal realizują inwestycje. </w:t>
      </w:r>
      <w:r w:rsidR="0065534D" w:rsidRPr="004E419D">
        <w:rPr>
          <w:rFonts w:cstheme="minorHAnsi"/>
          <w:i/>
          <w:iCs/>
          <w:sz w:val="22"/>
          <w:szCs w:val="22"/>
        </w:rPr>
        <w:t>Dlatego p</w:t>
      </w:r>
      <w:r w:rsidR="009375B9" w:rsidRPr="004E419D">
        <w:rPr>
          <w:rFonts w:cstheme="minorHAnsi"/>
          <w:i/>
          <w:iCs/>
          <w:sz w:val="22"/>
          <w:szCs w:val="22"/>
        </w:rPr>
        <w:t>odtrzymujemy prognozę wzrostu rynku na cały 2026 rok –</w:t>
      </w:r>
      <w:r w:rsidR="003C1300">
        <w:rPr>
          <w:rFonts w:cstheme="minorHAnsi"/>
          <w:i/>
          <w:iCs/>
          <w:sz w:val="22"/>
          <w:szCs w:val="22"/>
        </w:rPr>
        <w:t xml:space="preserve"> </w:t>
      </w:r>
      <w:r w:rsidRPr="004E419D">
        <w:rPr>
          <w:rFonts w:cstheme="minorHAnsi"/>
          <w:sz w:val="22"/>
          <w:szCs w:val="22"/>
        </w:rPr>
        <w:t xml:space="preserve">mówi </w:t>
      </w:r>
      <w:r w:rsidRPr="004E419D">
        <w:rPr>
          <w:rFonts w:cstheme="minorHAnsi"/>
          <w:b/>
          <w:bCs/>
          <w:sz w:val="22"/>
          <w:szCs w:val="22"/>
        </w:rPr>
        <w:t>Monika Constant</w:t>
      </w:r>
      <w:r w:rsidRPr="004E419D">
        <w:rPr>
          <w:rFonts w:cstheme="minorHAnsi"/>
          <w:sz w:val="22"/>
          <w:szCs w:val="22"/>
        </w:rPr>
        <w:t>, prezeska Związku Polskiego Leasingu.</w:t>
      </w:r>
    </w:p>
    <w:p w14:paraId="043AB1EE" w14:textId="77777777" w:rsidR="00A50C31" w:rsidRDefault="00E353BD" w:rsidP="007D4AF0">
      <w:pPr>
        <w:spacing w:before="240" w:after="240" w:line="276" w:lineRule="auto"/>
        <w:jc w:val="both"/>
        <w:rPr>
          <w:rFonts w:cstheme="minorHAnsi"/>
          <w:sz w:val="22"/>
          <w:szCs w:val="22"/>
        </w:rPr>
      </w:pPr>
      <w:r w:rsidRPr="004E419D">
        <w:rPr>
          <w:rFonts w:cstheme="minorHAnsi"/>
          <w:sz w:val="22"/>
          <w:szCs w:val="22"/>
        </w:rPr>
        <w:t xml:space="preserve">Związek Polskiego Leasingu szacuje wzrost rynku </w:t>
      </w:r>
      <w:r w:rsidRPr="0065193A">
        <w:rPr>
          <w:rFonts w:cstheme="minorHAnsi"/>
          <w:sz w:val="22"/>
          <w:szCs w:val="22"/>
        </w:rPr>
        <w:t>w całym 2026 rok na poziomie 8,</w:t>
      </w:r>
      <w:r w:rsidR="001A4E42" w:rsidRPr="0065193A">
        <w:rPr>
          <w:rFonts w:cstheme="minorHAnsi"/>
          <w:sz w:val="22"/>
          <w:szCs w:val="22"/>
        </w:rPr>
        <w:t>4</w:t>
      </w:r>
      <w:r w:rsidRPr="0065193A">
        <w:rPr>
          <w:rFonts w:cstheme="minorHAnsi"/>
          <w:sz w:val="22"/>
          <w:szCs w:val="22"/>
        </w:rPr>
        <w:t xml:space="preserve"> proc. Oznacza to sfinansowanie inwestycji przedsiębiorstw o wartości około 129,</w:t>
      </w:r>
      <w:r w:rsidR="001A4E42" w:rsidRPr="0065193A">
        <w:rPr>
          <w:rFonts w:cstheme="minorHAnsi"/>
          <w:sz w:val="22"/>
          <w:szCs w:val="22"/>
        </w:rPr>
        <w:t>5</w:t>
      </w:r>
      <w:r w:rsidRPr="0065193A">
        <w:rPr>
          <w:rFonts w:cstheme="minorHAnsi"/>
          <w:sz w:val="22"/>
          <w:szCs w:val="22"/>
        </w:rPr>
        <w:t xml:space="preserve"> mld zł, wobec 119,5 mld zł w 2025 r.</w:t>
      </w:r>
      <w:r w:rsidR="003D5883" w:rsidRPr="0065193A">
        <w:rPr>
          <w:rFonts w:cstheme="minorHAnsi"/>
          <w:sz w:val="22"/>
          <w:szCs w:val="22"/>
        </w:rPr>
        <w:t xml:space="preserve"> </w:t>
      </w:r>
      <w:r w:rsidR="00A50C31" w:rsidRPr="0065193A">
        <w:rPr>
          <w:rFonts w:cstheme="minorHAnsi"/>
          <w:sz w:val="22"/>
          <w:szCs w:val="22"/>
        </w:rPr>
        <w:t>Prognoza zakłada utrzymanie aktywności inwestycyjnej przedsiębiorstw oraz wyraźne przyspieszenie inwestycji</w:t>
      </w:r>
      <w:r w:rsidR="000E35AD" w:rsidRPr="0065193A">
        <w:rPr>
          <w:rFonts w:cstheme="minorHAnsi"/>
          <w:sz w:val="22"/>
          <w:szCs w:val="22"/>
        </w:rPr>
        <w:t xml:space="preserve"> w gospodarce</w:t>
      </w:r>
      <w:r w:rsidR="00A50C31" w:rsidRPr="0065193A">
        <w:rPr>
          <w:rFonts w:cstheme="minorHAnsi"/>
          <w:sz w:val="22"/>
          <w:szCs w:val="22"/>
        </w:rPr>
        <w:t xml:space="preserve"> w drugiej połowie roku. Sprzyj</w:t>
      </w:r>
      <w:r w:rsidR="00A50C31" w:rsidRPr="004E419D">
        <w:rPr>
          <w:rFonts w:cstheme="minorHAnsi"/>
          <w:sz w:val="22"/>
          <w:szCs w:val="22"/>
        </w:rPr>
        <w:t xml:space="preserve">ać temu będzie kumulacja pieniędzy z Krajowego Planu Odbudowy, funduszy polityki spójności z perspektywy 2021–2027 oraz programu SAFE. Ze względu na opóźnienia w realizacji projektów i wolniejsze przekazywanie pieniędzy beneficjentom, znacząca część inwestycji finansowanych z KPO przesunęła się z 2025 na 2026 rok. Związek Polskiego Leasingu szacuje, że wydatki inwestycyjne finansowane z pieniędzy unijnych mogą wynieść w tym roku około 182 mld zł, wobec około </w:t>
      </w:r>
      <w:r w:rsidR="00FF1F1F" w:rsidRPr="004E419D">
        <w:rPr>
          <w:rFonts w:cstheme="minorHAnsi"/>
          <w:sz w:val="22"/>
          <w:szCs w:val="22"/>
        </w:rPr>
        <w:t>70</w:t>
      </w:r>
      <w:r w:rsidR="00A50C31" w:rsidRPr="004E419D">
        <w:rPr>
          <w:rFonts w:cstheme="minorHAnsi"/>
          <w:sz w:val="22"/>
          <w:szCs w:val="22"/>
        </w:rPr>
        <w:t xml:space="preserve"> mld zł rok wcześniej</w:t>
      </w:r>
      <w:r w:rsidR="00FF1F1F" w:rsidRPr="004E419D">
        <w:rPr>
          <w:rFonts w:cstheme="minorHAnsi"/>
          <w:sz w:val="22"/>
          <w:szCs w:val="22"/>
        </w:rPr>
        <w:t xml:space="preserve"> i 26 mld zł w 2024 roku</w:t>
      </w:r>
      <w:r w:rsidR="00A50C31" w:rsidRPr="004E419D">
        <w:rPr>
          <w:rFonts w:cstheme="minorHAnsi"/>
          <w:sz w:val="22"/>
          <w:szCs w:val="22"/>
        </w:rPr>
        <w:t xml:space="preserve">. Tak </w:t>
      </w:r>
      <w:r w:rsidR="00A50C31" w:rsidRPr="004E419D">
        <w:rPr>
          <w:rFonts w:cstheme="minorHAnsi"/>
          <w:sz w:val="22"/>
          <w:szCs w:val="22"/>
        </w:rPr>
        <w:lastRenderedPageBreak/>
        <w:t>znaczący wzrost będzie silnym impulsem dla inwestycji prywatnych, zwłaszcza sektora MŚP, co powinno pozytywnie wpłynąć na rozwój rynku leasingu.</w:t>
      </w:r>
    </w:p>
    <w:p w14:paraId="559D0FCB" w14:textId="45A50B55" w:rsidR="0065193A" w:rsidRPr="004E419D" w:rsidRDefault="0065193A" w:rsidP="007D4AF0">
      <w:pPr>
        <w:spacing w:before="240" w:after="240" w:line="276" w:lineRule="auto"/>
        <w:jc w:val="both"/>
        <w:rPr>
          <w:rFonts w:cstheme="minorHAnsi"/>
          <w:sz w:val="22"/>
          <w:szCs w:val="22"/>
        </w:rPr>
      </w:pPr>
      <w:r>
        <w:rPr>
          <w:rFonts w:cstheme="minorHAnsi"/>
          <w:noProof/>
          <w:sz w:val="22"/>
          <w:szCs w:val="22"/>
        </w:rPr>
        <w:drawing>
          <wp:inline distT="0" distB="0" distL="0" distR="0" wp14:anchorId="67B0A3A7" wp14:editId="3DB22DFC">
            <wp:extent cx="5759450" cy="3551555"/>
            <wp:effectExtent l="0" t="0" r="0" b="0"/>
            <wp:docPr id="20784032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03202" name="Obraz 2078403202"/>
                    <pic:cNvPicPr/>
                  </pic:nvPicPr>
                  <pic:blipFill>
                    <a:blip r:embed="rId10">
                      <a:extLst>
                        <a:ext uri="{28A0092B-C50C-407E-A947-70E740481C1C}">
                          <a14:useLocalDpi xmlns:a14="http://schemas.microsoft.com/office/drawing/2010/main" val="0"/>
                        </a:ext>
                      </a:extLst>
                    </a:blip>
                    <a:stretch>
                      <a:fillRect/>
                    </a:stretch>
                  </pic:blipFill>
                  <pic:spPr>
                    <a:xfrm>
                      <a:off x="0" y="0"/>
                      <a:ext cx="5759450" cy="3551555"/>
                    </a:xfrm>
                    <a:prstGeom prst="rect">
                      <a:avLst/>
                    </a:prstGeom>
                  </pic:spPr>
                </pic:pic>
              </a:graphicData>
            </a:graphic>
          </wp:inline>
        </w:drawing>
      </w:r>
    </w:p>
    <w:p w14:paraId="5B3E8094" w14:textId="77777777" w:rsidR="00C2040F" w:rsidRPr="004E419D" w:rsidRDefault="00C2040F" w:rsidP="007D4AF0">
      <w:pPr>
        <w:spacing w:before="240" w:after="240" w:line="276" w:lineRule="auto"/>
        <w:jc w:val="both"/>
        <w:rPr>
          <w:rFonts w:cstheme="minorHAnsi"/>
          <w:b/>
          <w:bCs/>
          <w:color w:val="0070C0"/>
          <w:sz w:val="22"/>
          <w:szCs w:val="22"/>
        </w:rPr>
      </w:pPr>
      <w:r w:rsidRPr="004E419D">
        <w:rPr>
          <w:rFonts w:cstheme="minorHAnsi"/>
          <w:b/>
          <w:bCs/>
          <w:color w:val="0070C0"/>
          <w:sz w:val="22"/>
          <w:szCs w:val="22"/>
        </w:rPr>
        <w:t>Transport ciężki motorem wzrostu</w:t>
      </w:r>
    </w:p>
    <w:p w14:paraId="07D7A116" w14:textId="77777777" w:rsidR="00C2040F" w:rsidRPr="004E419D" w:rsidRDefault="00C2040F" w:rsidP="007D4AF0">
      <w:pPr>
        <w:spacing w:before="240" w:after="240" w:line="276" w:lineRule="auto"/>
        <w:jc w:val="both"/>
        <w:rPr>
          <w:rFonts w:cstheme="minorHAnsi"/>
          <w:sz w:val="22"/>
          <w:szCs w:val="22"/>
        </w:rPr>
      </w:pPr>
      <w:r w:rsidRPr="004E419D">
        <w:rPr>
          <w:rFonts w:cstheme="minorHAnsi"/>
          <w:sz w:val="22"/>
          <w:szCs w:val="22"/>
        </w:rPr>
        <w:t>Największą kategorią finansowanych aktywów pozostają pojazdy. W pierwszym półroczu firmy leasingowe sfinansowały inwestycje w tej grupie o wartości 47,1 mld zł, co oznacza wzrost o 12,3 proc. rok do roku.</w:t>
      </w:r>
      <w:r w:rsidR="00695D8D" w:rsidRPr="004E419D">
        <w:rPr>
          <w:rFonts w:cstheme="minorHAnsi"/>
          <w:sz w:val="22"/>
          <w:szCs w:val="22"/>
        </w:rPr>
        <w:t xml:space="preserve"> </w:t>
      </w:r>
      <w:r w:rsidRPr="004E419D">
        <w:rPr>
          <w:rFonts w:cstheme="minorHAnsi"/>
          <w:sz w:val="22"/>
          <w:szCs w:val="22"/>
        </w:rPr>
        <w:t xml:space="preserve">Najwyższą dynamikę odnotował segment pojazdów ciężkich. Wartość jego finansowania wzrosła </w:t>
      </w:r>
      <w:r w:rsidR="000A08FD" w:rsidRPr="004E419D">
        <w:rPr>
          <w:rFonts w:cstheme="minorHAnsi"/>
          <w:sz w:val="22"/>
          <w:szCs w:val="22"/>
        </w:rPr>
        <w:t xml:space="preserve">aż </w:t>
      </w:r>
      <w:r w:rsidRPr="004E419D">
        <w:rPr>
          <w:rFonts w:cstheme="minorHAnsi"/>
          <w:sz w:val="22"/>
          <w:szCs w:val="22"/>
        </w:rPr>
        <w:t>o 25,5 proc., do 11,8 mld zł.</w:t>
      </w:r>
    </w:p>
    <w:p w14:paraId="764B6B02" w14:textId="77777777" w:rsidR="00C2040F" w:rsidRPr="004E419D" w:rsidRDefault="00C2040F" w:rsidP="00FC6636">
      <w:pPr>
        <w:spacing w:before="240" w:after="240" w:line="276" w:lineRule="auto"/>
        <w:jc w:val="both"/>
        <w:rPr>
          <w:rFonts w:cstheme="minorHAnsi"/>
          <w:sz w:val="22"/>
          <w:szCs w:val="22"/>
        </w:rPr>
      </w:pPr>
      <w:r w:rsidRPr="004E419D">
        <w:rPr>
          <w:rFonts w:cstheme="minorHAnsi"/>
          <w:sz w:val="22"/>
          <w:szCs w:val="22"/>
        </w:rPr>
        <w:t>Na wynik tej kategorii złożyły się przede wszystkim:</w:t>
      </w:r>
    </w:p>
    <w:p w14:paraId="46551766" w14:textId="77777777" w:rsidR="00C2040F" w:rsidRPr="004E419D" w:rsidRDefault="00C2040F" w:rsidP="00FC6636">
      <w:pPr>
        <w:numPr>
          <w:ilvl w:val="0"/>
          <w:numId w:val="38"/>
        </w:numPr>
        <w:spacing w:before="240" w:after="240" w:line="276" w:lineRule="auto"/>
        <w:jc w:val="both"/>
        <w:rPr>
          <w:rFonts w:cstheme="minorHAnsi"/>
          <w:sz w:val="22"/>
          <w:szCs w:val="22"/>
        </w:rPr>
      </w:pPr>
      <w:r w:rsidRPr="004E419D">
        <w:rPr>
          <w:rFonts w:cstheme="minorHAnsi"/>
          <w:sz w:val="22"/>
          <w:szCs w:val="22"/>
        </w:rPr>
        <w:t>wzrost finansowania ciągników siodłowych o 31,2 proc.,</w:t>
      </w:r>
    </w:p>
    <w:p w14:paraId="496F7EA5" w14:textId="77777777" w:rsidR="00C2040F" w:rsidRPr="004E419D" w:rsidRDefault="00C2040F" w:rsidP="00FC6636">
      <w:pPr>
        <w:numPr>
          <w:ilvl w:val="0"/>
          <w:numId w:val="38"/>
        </w:numPr>
        <w:spacing w:before="240" w:after="240" w:line="276" w:lineRule="auto"/>
        <w:jc w:val="both"/>
        <w:rPr>
          <w:rFonts w:cstheme="minorHAnsi"/>
          <w:sz w:val="22"/>
          <w:szCs w:val="22"/>
        </w:rPr>
      </w:pPr>
      <w:r w:rsidRPr="004E419D">
        <w:rPr>
          <w:rFonts w:cstheme="minorHAnsi"/>
          <w:sz w:val="22"/>
          <w:szCs w:val="22"/>
        </w:rPr>
        <w:t>samochodów ciężarowych powyżej 3,5 tony o 27,8 proc.,</w:t>
      </w:r>
    </w:p>
    <w:p w14:paraId="555A4A92" w14:textId="77777777" w:rsidR="00C2040F" w:rsidRPr="004E419D" w:rsidRDefault="00C2040F" w:rsidP="00FC6636">
      <w:pPr>
        <w:numPr>
          <w:ilvl w:val="0"/>
          <w:numId w:val="38"/>
        </w:numPr>
        <w:spacing w:before="240" w:after="240" w:line="276" w:lineRule="auto"/>
        <w:jc w:val="both"/>
        <w:rPr>
          <w:rFonts w:cstheme="minorHAnsi"/>
          <w:sz w:val="22"/>
          <w:szCs w:val="22"/>
        </w:rPr>
      </w:pPr>
      <w:r w:rsidRPr="004E419D">
        <w:rPr>
          <w:rFonts w:cstheme="minorHAnsi"/>
          <w:sz w:val="22"/>
          <w:szCs w:val="22"/>
        </w:rPr>
        <w:t>autobusów o 39,0 proc.,</w:t>
      </w:r>
    </w:p>
    <w:p w14:paraId="03EB9996" w14:textId="77777777" w:rsidR="00C2040F" w:rsidRPr="004E419D" w:rsidRDefault="00C2040F" w:rsidP="00FC6636">
      <w:pPr>
        <w:numPr>
          <w:ilvl w:val="0"/>
          <w:numId w:val="38"/>
        </w:numPr>
        <w:spacing w:before="240" w:after="240" w:line="276" w:lineRule="auto"/>
        <w:jc w:val="both"/>
        <w:rPr>
          <w:rFonts w:cstheme="minorHAnsi"/>
          <w:sz w:val="22"/>
          <w:szCs w:val="22"/>
        </w:rPr>
      </w:pPr>
      <w:r w:rsidRPr="004E419D">
        <w:rPr>
          <w:rFonts w:cstheme="minorHAnsi"/>
          <w:sz w:val="22"/>
          <w:szCs w:val="22"/>
        </w:rPr>
        <w:t>oraz naczep i przyczep o 4,8 proc.</w:t>
      </w:r>
    </w:p>
    <w:p w14:paraId="006FBB1B" w14:textId="77777777" w:rsidR="000A08FD" w:rsidRPr="004E419D" w:rsidRDefault="000A08FD" w:rsidP="007D4AF0">
      <w:pPr>
        <w:spacing w:before="240" w:after="240" w:line="276" w:lineRule="auto"/>
        <w:jc w:val="both"/>
        <w:rPr>
          <w:rFonts w:cstheme="minorHAnsi"/>
          <w:sz w:val="22"/>
          <w:szCs w:val="22"/>
        </w:rPr>
      </w:pPr>
      <w:r w:rsidRPr="004E419D">
        <w:rPr>
          <w:rFonts w:cstheme="minorHAnsi"/>
          <w:sz w:val="22"/>
          <w:szCs w:val="22"/>
        </w:rPr>
        <w:t xml:space="preserve">– </w:t>
      </w:r>
      <w:r w:rsidRPr="004E419D">
        <w:rPr>
          <w:rFonts w:cstheme="minorHAnsi"/>
          <w:i/>
          <w:iCs/>
          <w:sz w:val="22"/>
          <w:szCs w:val="22"/>
        </w:rPr>
        <w:t xml:space="preserve">Mimo utrzymującej się słabszej koniunktury w przemyśle strefy euro polski eksport pozostaje aktywny, co przekłada się na inwestycje firm transportowych. Dodatkowym impulsem były obowiązujące od 1 lipca bardziej rygorystyczne unijne wymogi dotyczące emisji CO₂ dla nowych pojazdów ciężkich. Wielu </w:t>
      </w:r>
      <w:r w:rsidRPr="004E419D">
        <w:rPr>
          <w:rFonts w:cstheme="minorHAnsi"/>
          <w:i/>
          <w:iCs/>
          <w:sz w:val="22"/>
          <w:szCs w:val="22"/>
        </w:rPr>
        <w:lastRenderedPageBreak/>
        <w:t>przewoźników zdecydowało się przyspieszyć zakupy i finansowanie nowych pojazdów jeszcze przed pełnym wejściem w życie tych zmian. Dlatego najszybciej rosło finansowanie pojazdów wykorzystywanych w międzynarodowym transporcie drogowym towarów</w:t>
      </w:r>
      <w:r w:rsidRPr="004E419D">
        <w:rPr>
          <w:rFonts w:cstheme="minorHAnsi"/>
          <w:sz w:val="22"/>
          <w:szCs w:val="22"/>
        </w:rPr>
        <w:t xml:space="preserve"> – mówi </w:t>
      </w:r>
      <w:r w:rsidRPr="004E419D">
        <w:rPr>
          <w:rFonts w:cstheme="minorHAnsi"/>
          <w:b/>
          <w:bCs/>
          <w:sz w:val="22"/>
          <w:szCs w:val="22"/>
        </w:rPr>
        <w:t>Marcin Nieplowicz</w:t>
      </w:r>
      <w:r w:rsidRPr="004E419D">
        <w:rPr>
          <w:rFonts w:cstheme="minorHAnsi"/>
          <w:sz w:val="22"/>
          <w:szCs w:val="22"/>
        </w:rPr>
        <w:t>, główny ekonomista EFL i ZPL.</w:t>
      </w:r>
    </w:p>
    <w:p w14:paraId="5969A358" w14:textId="77777777" w:rsidR="00C2040F" w:rsidRPr="004E419D" w:rsidRDefault="000A08FD" w:rsidP="007D4AF0">
      <w:pPr>
        <w:spacing w:before="240" w:after="240" w:line="276" w:lineRule="auto"/>
        <w:jc w:val="both"/>
        <w:rPr>
          <w:rFonts w:cstheme="minorHAnsi"/>
          <w:sz w:val="22"/>
          <w:szCs w:val="22"/>
        </w:rPr>
      </w:pPr>
      <w:r w:rsidRPr="004E419D">
        <w:rPr>
          <w:rFonts w:cstheme="minorHAnsi"/>
          <w:sz w:val="22"/>
          <w:szCs w:val="22"/>
        </w:rPr>
        <w:t>Z kolei f</w:t>
      </w:r>
      <w:r w:rsidR="00C2040F" w:rsidRPr="004E419D">
        <w:rPr>
          <w:rFonts w:cstheme="minorHAnsi"/>
          <w:sz w:val="22"/>
          <w:szCs w:val="22"/>
        </w:rPr>
        <w:t>inansowanie pojazdów lekkich wzrosło o 8,3 proc., osiągając wartość 34,7 mld zł. W tej grupie finansowanie samochodów osobowych zwiększyło się o 8,0 proc., natomiast samochodów dostawczych do 3,5 tony o 10,9 proc.</w:t>
      </w:r>
    </w:p>
    <w:p w14:paraId="44AC4B13" w14:textId="77777777" w:rsidR="002139F5" w:rsidRPr="004E419D" w:rsidRDefault="002139F5" w:rsidP="007D4AF0">
      <w:pPr>
        <w:spacing w:before="240" w:after="240" w:line="276" w:lineRule="auto"/>
        <w:jc w:val="both"/>
        <w:rPr>
          <w:rFonts w:cstheme="minorHAnsi"/>
          <w:sz w:val="22"/>
          <w:szCs w:val="22"/>
        </w:rPr>
      </w:pPr>
      <w:r w:rsidRPr="004E419D">
        <w:rPr>
          <w:rFonts w:cstheme="minorHAnsi"/>
          <w:sz w:val="22"/>
          <w:szCs w:val="22"/>
        </w:rPr>
        <w:t xml:space="preserve">- </w:t>
      </w:r>
      <w:r w:rsidRPr="004E419D">
        <w:rPr>
          <w:rFonts w:cstheme="minorHAnsi"/>
          <w:i/>
          <w:iCs/>
          <w:sz w:val="22"/>
          <w:szCs w:val="22"/>
        </w:rPr>
        <w:t>Wysoka dynamika finansowania samochodów osobowych i dostawczych utrzymuje się już od kilku lat. Coraz więcej przedsiębiorców decyduje się na finansowanie nowych pojazdów, choć średnia wartość pojedynczej transakcji jest nieco niższa niż przed rokiem. To potwierdza, że aktywność inwestycyjna firm pozostaje wysoka</w:t>
      </w:r>
      <w:r w:rsidRPr="004E419D">
        <w:rPr>
          <w:rFonts w:cstheme="minorHAnsi"/>
          <w:sz w:val="22"/>
          <w:szCs w:val="22"/>
        </w:rPr>
        <w:t xml:space="preserve"> – dodaje Marcin Nieplowicz.</w:t>
      </w:r>
    </w:p>
    <w:p w14:paraId="20C8F09F" w14:textId="77777777" w:rsidR="00C2040F" w:rsidRPr="004E419D" w:rsidRDefault="00C2040F" w:rsidP="007D4AF0">
      <w:pPr>
        <w:spacing w:before="240" w:after="240" w:line="276" w:lineRule="auto"/>
        <w:jc w:val="both"/>
        <w:rPr>
          <w:rFonts w:cstheme="minorHAnsi"/>
          <w:b/>
          <w:bCs/>
          <w:color w:val="0070C0"/>
          <w:sz w:val="22"/>
          <w:szCs w:val="22"/>
        </w:rPr>
      </w:pPr>
      <w:r w:rsidRPr="004E419D">
        <w:rPr>
          <w:rFonts w:cstheme="minorHAnsi"/>
          <w:b/>
          <w:bCs/>
          <w:color w:val="0070C0"/>
          <w:sz w:val="22"/>
          <w:szCs w:val="22"/>
        </w:rPr>
        <w:t>Maszyny – jeden rynek, różne kierunki</w:t>
      </w:r>
    </w:p>
    <w:p w14:paraId="57C3B9A2" w14:textId="6D64B69D" w:rsidR="00D74941" w:rsidRPr="004E419D" w:rsidRDefault="00D74941" w:rsidP="007D4AF0">
      <w:pPr>
        <w:spacing w:before="240" w:after="240" w:line="276" w:lineRule="auto"/>
        <w:jc w:val="both"/>
        <w:rPr>
          <w:rFonts w:cstheme="minorHAnsi"/>
          <w:sz w:val="22"/>
          <w:szCs w:val="22"/>
        </w:rPr>
      </w:pPr>
      <w:r w:rsidRPr="004E419D">
        <w:rPr>
          <w:rFonts w:cstheme="minorHAnsi"/>
          <w:sz w:val="22"/>
          <w:szCs w:val="22"/>
        </w:rPr>
        <w:t>Wartość finansowania maszyn i urządzeń wzrosła o 1,7 proc.</w:t>
      </w:r>
      <w:r w:rsidR="00FE0140" w:rsidRPr="004E419D">
        <w:rPr>
          <w:rFonts w:cstheme="minorHAnsi"/>
          <w:sz w:val="22"/>
          <w:szCs w:val="22"/>
        </w:rPr>
        <w:t xml:space="preserve"> i wyniosła 13,0 mld zł</w:t>
      </w:r>
      <w:r w:rsidRPr="004E419D">
        <w:rPr>
          <w:rFonts w:cstheme="minorHAnsi"/>
          <w:sz w:val="22"/>
          <w:szCs w:val="22"/>
        </w:rPr>
        <w:t>, jednak za tym wynikiem kryją się wyraźnie różne tendencje. Dynamicznie rosło finansowanie maszyn dla przemysłu spożywczego, sprzętu medycznego oraz maszyn</w:t>
      </w:r>
      <w:r w:rsidR="00DF5DC7" w:rsidRPr="004E419D">
        <w:rPr>
          <w:rFonts w:cstheme="minorHAnsi"/>
          <w:sz w:val="22"/>
          <w:szCs w:val="22"/>
        </w:rPr>
        <w:t xml:space="preserve"> do obróbki metali</w:t>
      </w:r>
      <w:r w:rsidRPr="004E419D">
        <w:rPr>
          <w:rFonts w:cstheme="minorHAnsi"/>
          <w:sz w:val="22"/>
          <w:szCs w:val="22"/>
        </w:rPr>
        <w:t xml:space="preserve">. Jednocześnie niższa niż przed rokiem była wartość finansowania maszyn rolniczych. To przede wszystkim efekt bardzo wysokiej bazy z 2025 r., kiedy inwestycje przyspieszyły dzięki kumulacji programów wsparcia, poprawie dostępności finansowania oraz realizacji odłożonego popytu. W 2026 r. rynek wszedł w fazę naturalnej stabilizacji. </w:t>
      </w:r>
    </w:p>
    <w:p w14:paraId="6D17B144" w14:textId="77777777" w:rsidR="00F92351" w:rsidRPr="004E419D" w:rsidRDefault="00F92351" w:rsidP="007D4AF0">
      <w:pPr>
        <w:spacing w:before="240" w:after="240" w:line="276" w:lineRule="auto"/>
        <w:jc w:val="both"/>
        <w:rPr>
          <w:rFonts w:cstheme="minorHAnsi"/>
          <w:sz w:val="22"/>
          <w:szCs w:val="22"/>
        </w:rPr>
      </w:pPr>
      <w:r w:rsidRPr="004E419D">
        <w:rPr>
          <w:rFonts w:cstheme="minorHAnsi"/>
          <w:i/>
          <w:iCs/>
          <w:sz w:val="22"/>
          <w:szCs w:val="22"/>
        </w:rPr>
        <w:t xml:space="preserve">– W rolnictwie obserwujemy naturalne wyhamowanie po bardzo mocnym 2025 roku, kiedy inwestycje były wspierane przez kumulację programów pomocowych i odłożony popyt. W budownictwie oczekujemy natomiast stopniowego ożywienia, które powinno być wspierane przez rosnącą liczbę inwestycji realizowanych z udziałem pieniędzy unijnych. To jeden z czynników, który powinien pozytywnie wpływać na aktywność inwestycyjną przedsiębiorstw w kolejnych kwartałach </w:t>
      </w:r>
      <w:r w:rsidRPr="004E419D">
        <w:rPr>
          <w:rFonts w:cstheme="minorHAnsi"/>
          <w:sz w:val="22"/>
          <w:szCs w:val="22"/>
        </w:rPr>
        <w:t xml:space="preserve">– mówi </w:t>
      </w:r>
      <w:r w:rsidRPr="004E419D">
        <w:rPr>
          <w:rFonts w:cstheme="minorHAnsi"/>
          <w:b/>
          <w:bCs/>
          <w:sz w:val="22"/>
          <w:szCs w:val="22"/>
        </w:rPr>
        <w:t>Monika Constant</w:t>
      </w:r>
      <w:r w:rsidRPr="004E419D">
        <w:rPr>
          <w:rFonts w:cstheme="minorHAnsi"/>
          <w:sz w:val="22"/>
          <w:szCs w:val="22"/>
        </w:rPr>
        <w:t>, prezeska Związku Polskiego Leasingu.</w:t>
      </w:r>
    </w:p>
    <w:p w14:paraId="40F87E48" w14:textId="77777777" w:rsidR="003131B6" w:rsidRPr="004E419D" w:rsidRDefault="003131B6" w:rsidP="007D4AF0">
      <w:pPr>
        <w:spacing w:before="240" w:after="240" w:line="276" w:lineRule="auto"/>
        <w:jc w:val="both"/>
        <w:rPr>
          <w:rFonts w:cstheme="minorHAnsi"/>
          <w:sz w:val="22"/>
          <w:szCs w:val="22"/>
        </w:rPr>
      </w:pPr>
      <w:r w:rsidRPr="004E419D">
        <w:rPr>
          <w:rFonts w:cstheme="minorHAnsi"/>
          <w:sz w:val="22"/>
          <w:szCs w:val="22"/>
        </w:rPr>
        <w:t xml:space="preserve">– </w:t>
      </w:r>
      <w:r w:rsidRPr="004E419D">
        <w:rPr>
          <w:rFonts w:cstheme="minorHAnsi"/>
          <w:i/>
          <w:iCs/>
          <w:sz w:val="22"/>
          <w:szCs w:val="22"/>
        </w:rPr>
        <w:t>W finansowaniu maszyn nie obserwujemy jeszcze wyraźnego przełomu, ale pojawiają się pierwsze pozytywne sygnały. Czerwiec przyniósł długo oczekiwane odbicie w segmencie maszyn budowlanych, natomiast w rolnictwie aktywność inwestycyjna pozostaje ograniczona z uwagi na słabszą koniunkturę. Jednocześnie rośnie zainteresowanie maszynami używanymi, co pokazuje, że przedsiębiorcy nadal inwestują, dostosowując swoje decyzje do sytuacji rynkowej</w:t>
      </w:r>
      <w:r w:rsidRPr="004E419D">
        <w:rPr>
          <w:rFonts w:cstheme="minorHAnsi"/>
          <w:sz w:val="22"/>
          <w:szCs w:val="22"/>
        </w:rPr>
        <w:t xml:space="preserve"> – dodaje </w:t>
      </w:r>
      <w:r w:rsidRPr="004E419D">
        <w:rPr>
          <w:rFonts w:cstheme="minorHAnsi"/>
          <w:b/>
          <w:bCs/>
          <w:sz w:val="22"/>
          <w:szCs w:val="22"/>
        </w:rPr>
        <w:t>Marcin Nieplowicz</w:t>
      </w:r>
      <w:r w:rsidRPr="004E419D">
        <w:rPr>
          <w:rFonts w:cstheme="minorHAnsi"/>
          <w:sz w:val="22"/>
          <w:szCs w:val="22"/>
        </w:rPr>
        <w:t>.</w:t>
      </w:r>
    </w:p>
    <w:p w14:paraId="18115E4F" w14:textId="77777777" w:rsidR="00C2040F" w:rsidRPr="004E419D" w:rsidRDefault="005A2A63" w:rsidP="007D4AF0">
      <w:pPr>
        <w:spacing w:before="240" w:after="240" w:line="276" w:lineRule="auto"/>
        <w:jc w:val="both"/>
        <w:rPr>
          <w:rFonts w:cstheme="minorHAnsi"/>
          <w:b/>
          <w:bCs/>
          <w:color w:val="0070C0"/>
          <w:sz w:val="22"/>
          <w:szCs w:val="22"/>
        </w:rPr>
      </w:pPr>
      <w:r w:rsidRPr="004E419D">
        <w:rPr>
          <w:rFonts w:cstheme="minorHAnsi"/>
          <w:b/>
          <w:bCs/>
          <w:color w:val="0070C0"/>
          <w:sz w:val="22"/>
          <w:szCs w:val="22"/>
        </w:rPr>
        <w:t>Struktura rynku pozostaje stabilna</w:t>
      </w:r>
    </w:p>
    <w:p w14:paraId="6D5BC17B" w14:textId="77777777" w:rsidR="00BE5863" w:rsidRPr="004E419D" w:rsidRDefault="00BE5863" w:rsidP="007D4AF0">
      <w:pPr>
        <w:spacing w:before="240" w:after="240" w:line="276" w:lineRule="auto"/>
        <w:jc w:val="both"/>
        <w:rPr>
          <w:rFonts w:cstheme="minorHAnsi"/>
          <w:sz w:val="22"/>
          <w:szCs w:val="22"/>
        </w:rPr>
      </w:pPr>
      <w:r w:rsidRPr="004E419D">
        <w:rPr>
          <w:rFonts w:cstheme="minorHAnsi"/>
          <w:sz w:val="22"/>
          <w:szCs w:val="22"/>
        </w:rPr>
        <w:t>Wzrost rynku napędzały oba produkty oferowane przez firmy leasingowe. Wartość finansowania udzielonego w formie leasingu zwiększyła się w pierwszym półroczu w jednocyfrowym tempie</w:t>
      </w:r>
      <w:r w:rsidR="0026564B" w:rsidRPr="004E419D">
        <w:rPr>
          <w:rFonts w:cstheme="minorHAnsi"/>
          <w:sz w:val="22"/>
          <w:szCs w:val="22"/>
        </w:rPr>
        <w:t xml:space="preserve"> (</w:t>
      </w:r>
      <w:r w:rsidR="00FA5C6C" w:rsidRPr="004E419D">
        <w:rPr>
          <w:rFonts w:cstheme="minorHAnsi"/>
          <w:sz w:val="22"/>
          <w:szCs w:val="22"/>
        </w:rPr>
        <w:t>6,8 proc.</w:t>
      </w:r>
      <w:r w:rsidR="007B3F10" w:rsidRPr="004E419D">
        <w:rPr>
          <w:rFonts w:cstheme="minorHAnsi"/>
          <w:sz w:val="22"/>
          <w:szCs w:val="22"/>
        </w:rPr>
        <w:t xml:space="preserve">, do </w:t>
      </w:r>
      <w:r w:rsidR="00FA5C6C" w:rsidRPr="004E419D">
        <w:rPr>
          <w:rFonts w:cstheme="minorHAnsi"/>
          <w:sz w:val="22"/>
          <w:szCs w:val="22"/>
        </w:rPr>
        <w:t>51,</w:t>
      </w:r>
      <w:r w:rsidR="004F0962" w:rsidRPr="004E419D">
        <w:rPr>
          <w:rFonts w:cstheme="minorHAnsi"/>
          <w:sz w:val="22"/>
          <w:szCs w:val="22"/>
        </w:rPr>
        <w:t>8</w:t>
      </w:r>
      <w:r w:rsidR="00FA5C6C" w:rsidRPr="004E419D">
        <w:rPr>
          <w:rFonts w:cstheme="minorHAnsi"/>
          <w:sz w:val="22"/>
          <w:szCs w:val="22"/>
        </w:rPr>
        <w:t xml:space="preserve"> mld zł)</w:t>
      </w:r>
      <w:r w:rsidRPr="004E419D">
        <w:rPr>
          <w:rFonts w:cstheme="minorHAnsi"/>
          <w:sz w:val="22"/>
          <w:szCs w:val="22"/>
        </w:rPr>
        <w:t>, natomiast pożyczka leasingowa utrzymała dwucyfrową dynamikę</w:t>
      </w:r>
      <w:r w:rsidR="00FA5C6C" w:rsidRPr="004E419D">
        <w:rPr>
          <w:rFonts w:cstheme="minorHAnsi"/>
          <w:sz w:val="22"/>
          <w:szCs w:val="22"/>
        </w:rPr>
        <w:t xml:space="preserve"> (21,6 proc., do 10</w:t>
      </w:r>
      <w:r w:rsidR="007B3F10" w:rsidRPr="004E419D">
        <w:rPr>
          <w:rFonts w:cstheme="minorHAnsi"/>
          <w:sz w:val="22"/>
          <w:szCs w:val="22"/>
        </w:rPr>
        <w:t>,0 mld zł)</w:t>
      </w:r>
      <w:r w:rsidR="0038344C" w:rsidRPr="004E419D">
        <w:rPr>
          <w:rFonts w:cstheme="minorHAnsi"/>
          <w:sz w:val="22"/>
          <w:szCs w:val="22"/>
        </w:rPr>
        <w:t>.</w:t>
      </w:r>
    </w:p>
    <w:p w14:paraId="65911343" w14:textId="77777777" w:rsidR="00C2040F" w:rsidRPr="004E419D" w:rsidRDefault="00C2040F" w:rsidP="007D4AF0">
      <w:pPr>
        <w:spacing w:before="240" w:after="240" w:line="276" w:lineRule="auto"/>
        <w:jc w:val="both"/>
        <w:rPr>
          <w:rFonts w:cstheme="minorHAnsi"/>
          <w:sz w:val="22"/>
          <w:szCs w:val="22"/>
        </w:rPr>
      </w:pPr>
      <w:r w:rsidRPr="004E419D">
        <w:rPr>
          <w:rFonts w:cstheme="minorHAnsi"/>
          <w:sz w:val="22"/>
          <w:szCs w:val="22"/>
        </w:rPr>
        <w:lastRenderedPageBreak/>
        <w:t>W strukturze rynku dominują pojazdy, odpowiadające za ponad trzy czwarte wartości finansowanych inwestycji. Drugą najważniejszą grupą pozostają maszyny i urządzenia</w:t>
      </w:r>
      <w:r w:rsidR="00003C62" w:rsidRPr="004E419D">
        <w:rPr>
          <w:rFonts w:cstheme="minorHAnsi"/>
          <w:sz w:val="22"/>
          <w:szCs w:val="22"/>
        </w:rPr>
        <w:t xml:space="preserve"> (21 proc.)</w:t>
      </w:r>
      <w:r w:rsidRPr="004E419D">
        <w:rPr>
          <w:rFonts w:cstheme="minorHAnsi"/>
          <w:sz w:val="22"/>
          <w:szCs w:val="22"/>
        </w:rPr>
        <w:t xml:space="preserve">, których udział od lat odzwierciedla aktywność inwestycyjną przedsiębiorstw z sektora </w:t>
      </w:r>
      <w:r w:rsidR="008F719B" w:rsidRPr="004E419D">
        <w:rPr>
          <w:rFonts w:cstheme="minorHAnsi"/>
          <w:sz w:val="22"/>
          <w:szCs w:val="22"/>
        </w:rPr>
        <w:t xml:space="preserve">m.in. </w:t>
      </w:r>
      <w:r w:rsidRPr="004E419D">
        <w:rPr>
          <w:rFonts w:cstheme="minorHAnsi"/>
          <w:sz w:val="22"/>
          <w:szCs w:val="22"/>
        </w:rPr>
        <w:t>produkcyjnego, budowlanego</w:t>
      </w:r>
      <w:r w:rsidR="008F719B" w:rsidRPr="004E419D">
        <w:rPr>
          <w:rFonts w:cstheme="minorHAnsi"/>
          <w:sz w:val="22"/>
          <w:szCs w:val="22"/>
        </w:rPr>
        <w:t xml:space="preserve">, </w:t>
      </w:r>
      <w:r w:rsidRPr="004E419D">
        <w:rPr>
          <w:rFonts w:cstheme="minorHAnsi"/>
          <w:sz w:val="22"/>
          <w:szCs w:val="22"/>
        </w:rPr>
        <w:t xml:space="preserve"> rolnego</w:t>
      </w:r>
      <w:r w:rsidR="008F719B" w:rsidRPr="004E419D">
        <w:rPr>
          <w:rFonts w:cstheme="minorHAnsi"/>
          <w:sz w:val="22"/>
          <w:szCs w:val="22"/>
        </w:rPr>
        <w:t xml:space="preserve"> czy medycznego.</w:t>
      </w:r>
    </w:p>
    <w:p w14:paraId="3DA79870" w14:textId="6538504D" w:rsidR="0065193A" w:rsidRDefault="0065193A" w:rsidP="00FC6636">
      <w:pPr>
        <w:spacing w:before="240" w:after="240" w:line="276" w:lineRule="auto"/>
        <w:jc w:val="both"/>
        <w:rPr>
          <w:rFonts w:cstheme="minorHAnsi"/>
          <w:sz w:val="22"/>
          <w:szCs w:val="22"/>
        </w:rPr>
      </w:pPr>
      <w:r>
        <w:rPr>
          <w:rFonts w:cstheme="minorHAnsi"/>
          <w:noProof/>
          <w:sz w:val="22"/>
          <w:szCs w:val="22"/>
        </w:rPr>
        <w:drawing>
          <wp:inline distT="0" distB="0" distL="0" distR="0" wp14:anchorId="3C6D8ABE" wp14:editId="4D89FA6C">
            <wp:extent cx="5759450" cy="3407410"/>
            <wp:effectExtent l="0" t="0" r="0" b="2540"/>
            <wp:docPr id="212853955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539556" name="Obraz 2128539556"/>
                    <pic:cNvPicPr/>
                  </pic:nvPicPr>
                  <pic:blipFill>
                    <a:blip r:embed="rId11">
                      <a:extLst>
                        <a:ext uri="{28A0092B-C50C-407E-A947-70E740481C1C}">
                          <a14:useLocalDpi xmlns:a14="http://schemas.microsoft.com/office/drawing/2010/main" val="0"/>
                        </a:ext>
                      </a:extLst>
                    </a:blip>
                    <a:stretch>
                      <a:fillRect/>
                    </a:stretch>
                  </pic:blipFill>
                  <pic:spPr>
                    <a:xfrm>
                      <a:off x="0" y="0"/>
                      <a:ext cx="5759450" cy="3407410"/>
                    </a:xfrm>
                    <a:prstGeom prst="rect">
                      <a:avLst/>
                    </a:prstGeom>
                  </pic:spPr>
                </pic:pic>
              </a:graphicData>
            </a:graphic>
          </wp:inline>
        </w:drawing>
      </w:r>
    </w:p>
    <w:p w14:paraId="620E3425" w14:textId="1EAF1439" w:rsidR="002D6D99" w:rsidRPr="004E419D" w:rsidRDefault="002D6D99" w:rsidP="00FC6636">
      <w:pPr>
        <w:spacing w:before="240" w:after="240" w:line="276" w:lineRule="auto"/>
        <w:jc w:val="both"/>
        <w:rPr>
          <w:rFonts w:cstheme="minorHAnsi"/>
          <w:sz w:val="22"/>
          <w:szCs w:val="22"/>
        </w:rPr>
      </w:pPr>
      <w:r w:rsidRPr="004E419D">
        <w:rPr>
          <w:rFonts w:cstheme="minorHAnsi"/>
          <w:sz w:val="22"/>
          <w:szCs w:val="22"/>
        </w:rPr>
        <w:t>Finansowanie w podziale na aktywa:</w:t>
      </w:r>
    </w:p>
    <w:p w14:paraId="55F357E4" w14:textId="77777777" w:rsidR="007D4AF0" w:rsidRPr="004E419D" w:rsidRDefault="002D6D99" w:rsidP="00FC6636">
      <w:pPr>
        <w:pStyle w:val="Akapitzlist"/>
        <w:numPr>
          <w:ilvl w:val="0"/>
          <w:numId w:val="41"/>
        </w:numPr>
        <w:spacing w:before="240" w:after="240" w:line="276" w:lineRule="auto"/>
        <w:jc w:val="both"/>
        <w:rPr>
          <w:rFonts w:cstheme="minorHAnsi"/>
          <w:sz w:val="22"/>
          <w:szCs w:val="22"/>
        </w:rPr>
      </w:pPr>
      <w:r w:rsidRPr="004E419D">
        <w:rPr>
          <w:rFonts w:cstheme="minorHAnsi"/>
          <w:sz w:val="22"/>
          <w:szCs w:val="22"/>
        </w:rPr>
        <w:t xml:space="preserve">Pojazdy – </w:t>
      </w:r>
      <w:r w:rsidR="00663DCC" w:rsidRPr="004E419D">
        <w:rPr>
          <w:rFonts w:cstheme="minorHAnsi"/>
          <w:sz w:val="22"/>
          <w:szCs w:val="22"/>
        </w:rPr>
        <w:t>47,1</w:t>
      </w:r>
      <w:r w:rsidRPr="004E419D">
        <w:rPr>
          <w:rFonts w:cstheme="minorHAnsi"/>
          <w:sz w:val="22"/>
          <w:szCs w:val="22"/>
        </w:rPr>
        <w:t xml:space="preserve"> mld zł (wzrost o 12,</w:t>
      </w:r>
      <w:r w:rsidR="00663DCC" w:rsidRPr="004E419D">
        <w:rPr>
          <w:rFonts w:cstheme="minorHAnsi"/>
          <w:sz w:val="22"/>
          <w:szCs w:val="22"/>
        </w:rPr>
        <w:t>3</w:t>
      </w:r>
      <w:r w:rsidRPr="004E419D">
        <w:rPr>
          <w:rFonts w:cstheme="minorHAnsi"/>
          <w:sz w:val="22"/>
          <w:szCs w:val="22"/>
        </w:rPr>
        <w:t xml:space="preserve"> proc. r/r), w tym:</w:t>
      </w:r>
    </w:p>
    <w:p w14:paraId="737FA79B" w14:textId="77777777" w:rsidR="002D6D99" w:rsidRPr="004E419D" w:rsidRDefault="002D6D99" w:rsidP="00FC6636">
      <w:pPr>
        <w:pStyle w:val="Akapitzlist"/>
        <w:numPr>
          <w:ilvl w:val="0"/>
          <w:numId w:val="42"/>
        </w:numPr>
        <w:spacing w:before="240" w:after="240" w:line="276" w:lineRule="auto"/>
        <w:jc w:val="both"/>
        <w:rPr>
          <w:rFonts w:cstheme="minorHAnsi"/>
          <w:sz w:val="22"/>
          <w:szCs w:val="22"/>
        </w:rPr>
      </w:pPr>
      <w:r w:rsidRPr="004E419D">
        <w:rPr>
          <w:rFonts w:cstheme="minorHAnsi"/>
          <w:sz w:val="22"/>
          <w:szCs w:val="22"/>
        </w:rPr>
        <w:t xml:space="preserve">pojazdy lekkie – </w:t>
      </w:r>
      <w:r w:rsidR="00790BFC" w:rsidRPr="004E419D">
        <w:rPr>
          <w:rFonts w:cstheme="minorHAnsi"/>
          <w:sz w:val="22"/>
          <w:szCs w:val="22"/>
        </w:rPr>
        <w:t>34,7</w:t>
      </w:r>
      <w:r w:rsidRPr="004E419D">
        <w:rPr>
          <w:rFonts w:cstheme="minorHAnsi"/>
          <w:sz w:val="22"/>
          <w:szCs w:val="22"/>
        </w:rPr>
        <w:t xml:space="preserve"> mld zł (wzrost o </w:t>
      </w:r>
      <w:r w:rsidR="00790BFC" w:rsidRPr="004E419D">
        <w:rPr>
          <w:rFonts w:cstheme="minorHAnsi"/>
          <w:sz w:val="22"/>
          <w:szCs w:val="22"/>
        </w:rPr>
        <w:t>8,3</w:t>
      </w:r>
      <w:r w:rsidRPr="004E419D">
        <w:rPr>
          <w:rFonts w:cstheme="minorHAnsi"/>
          <w:sz w:val="22"/>
          <w:szCs w:val="22"/>
        </w:rPr>
        <w:t xml:space="preserve"> proc. r/r)</w:t>
      </w:r>
    </w:p>
    <w:p w14:paraId="034DE717" w14:textId="77777777" w:rsidR="002D6D99" w:rsidRPr="004E419D" w:rsidRDefault="002D6D99" w:rsidP="00FC6636">
      <w:pPr>
        <w:pStyle w:val="Akapitzlist"/>
        <w:numPr>
          <w:ilvl w:val="0"/>
          <w:numId w:val="42"/>
        </w:numPr>
        <w:spacing w:before="240" w:after="240" w:line="276" w:lineRule="auto"/>
        <w:jc w:val="both"/>
        <w:rPr>
          <w:rFonts w:cstheme="minorHAnsi"/>
          <w:sz w:val="22"/>
          <w:szCs w:val="22"/>
        </w:rPr>
      </w:pPr>
      <w:r w:rsidRPr="004E419D">
        <w:rPr>
          <w:rFonts w:cstheme="minorHAnsi"/>
          <w:sz w:val="22"/>
          <w:szCs w:val="22"/>
        </w:rPr>
        <w:t xml:space="preserve">pojazdy ciężkie – </w:t>
      </w:r>
      <w:r w:rsidR="00790BFC" w:rsidRPr="004E419D">
        <w:rPr>
          <w:rFonts w:cstheme="minorHAnsi"/>
          <w:sz w:val="22"/>
          <w:szCs w:val="22"/>
        </w:rPr>
        <w:t>11,8</w:t>
      </w:r>
      <w:r w:rsidRPr="004E419D">
        <w:rPr>
          <w:rFonts w:cstheme="minorHAnsi"/>
          <w:sz w:val="22"/>
          <w:szCs w:val="22"/>
        </w:rPr>
        <w:t xml:space="preserve"> mld zł (wzrost o </w:t>
      </w:r>
      <w:r w:rsidR="00790BFC" w:rsidRPr="004E419D">
        <w:rPr>
          <w:rFonts w:cstheme="minorHAnsi"/>
          <w:sz w:val="22"/>
          <w:szCs w:val="22"/>
        </w:rPr>
        <w:t>25,5</w:t>
      </w:r>
      <w:r w:rsidRPr="004E419D">
        <w:rPr>
          <w:rFonts w:cstheme="minorHAnsi"/>
          <w:sz w:val="22"/>
          <w:szCs w:val="22"/>
        </w:rPr>
        <w:t xml:space="preserve"> proc. r/r)</w:t>
      </w:r>
    </w:p>
    <w:p w14:paraId="5EA7018B" w14:textId="77777777" w:rsidR="002D6D99" w:rsidRPr="004E419D" w:rsidRDefault="002D6D99" w:rsidP="00FC6636">
      <w:pPr>
        <w:pStyle w:val="Akapitzlist"/>
        <w:numPr>
          <w:ilvl w:val="0"/>
          <w:numId w:val="42"/>
        </w:numPr>
        <w:spacing w:before="240" w:after="240" w:line="276" w:lineRule="auto"/>
        <w:jc w:val="both"/>
        <w:rPr>
          <w:rFonts w:cstheme="minorHAnsi"/>
          <w:sz w:val="22"/>
          <w:szCs w:val="22"/>
        </w:rPr>
      </w:pPr>
      <w:r w:rsidRPr="004E419D">
        <w:rPr>
          <w:rFonts w:cstheme="minorHAnsi"/>
          <w:sz w:val="22"/>
          <w:szCs w:val="22"/>
        </w:rPr>
        <w:t>inne pojazdy – 0,</w:t>
      </w:r>
      <w:r w:rsidR="00790BFC" w:rsidRPr="004E419D">
        <w:rPr>
          <w:rFonts w:cstheme="minorHAnsi"/>
          <w:sz w:val="22"/>
          <w:szCs w:val="22"/>
        </w:rPr>
        <w:t>6</w:t>
      </w:r>
      <w:r w:rsidRPr="004E419D">
        <w:rPr>
          <w:rFonts w:cstheme="minorHAnsi"/>
          <w:sz w:val="22"/>
          <w:szCs w:val="22"/>
        </w:rPr>
        <w:t xml:space="preserve"> mld zł (wzrost o </w:t>
      </w:r>
      <w:r w:rsidR="00790BFC" w:rsidRPr="004E419D">
        <w:rPr>
          <w:rFonts w:cstheme="minorHAnsi"/>
          <w:sz w:val="22"/>
          <w:szCs w:val="22"/>
        </w:rPr>
        <w:t>14,7</w:t>
      </w:r>
      <w:r w:rsidRPr="004E419D">
        <w:rPr>
          <w:rFonts w:cstheme="minorHAnsi"/>
          <w:sz w:val="22"/>
          <w:szCs w:val="22"/>
        </w:rPr>
        <w:t xml:space="preserve"> proc. r/r)</w:t>
      </w:r>
    </w:p>
    <w:p w14:paraId="47F3276F" w14:textId="77777777" w:rsidR="002D6D99" w:rsidRPr="004E419D" w:rsidRDefault="002D6D99" w:rsidP="00FC6636">
      <w:pPr>
        <w:pStyle w:val="Akapitzlist"/>
        <w:numPr>
          <w:ilvl w:val="0"/>
          <w:numId w:val="41"/>
        </w:numPr>
        <w:spacing w:before="240" w:after="240" w:line="276" w:lineRule="auto"/>
        <w:jc w:val="both"/>
        <w:rPr>
          <w:rFonts w:cstheme="minorHAnsi"/>
          <w:sz w:val="22"/>
          <w:szCs w:val="22"/>
        </w:rPr>
      </w:pPr>
      <w:r w:rsidRPr="004E419D">
        <w:rPr>
          <w:rFonts w:cstheme="minorHAnsi"/>
          <w:sz w:val="22"/>
          <w:szCs w:val="22"/>
        </w:rPr>
        <w:t xml:space="preserve">Maszyny i urządzenia – </w:t>
      </w:r>
      <w:r w:rsidR="00C903F8" w:rsidRPr="004E419D">
        <w:rPr>
          <w:rFonts w:cstheme="minorHAnsi"/>
          <w:sz w:val="22"/>
          <w:szCs w:val="22"/>
        </w:rPr>
        <w:t>13,0</w:t>
      </w:r>
      <w:r w:rsidRPr="004E419D">
        <w:rPr>
          <w:rFonts w:cstheme="minorHAnsi"/>
          <w:sz w:val="22"/>
          <w:szCs w:val="22"/>
        </w:rPr>
        <w:t xml:space="preserve"> mld zł (wzrost o </w:t>
      </w:r>
      <w:r w:rsidR="00C903F8" w:rsidRPr="004E419D">
        <w:rPr>
          <w:rFonts w:cstheme="minorHAnsi"/>
          <w:sz w:val="22"/>
          <w:szCs w:val="22"/>
        </w:rPr>
        <w:t>1,7</w:t>
      </w:r>
      <w:r w:rsidRPr="004E419D">
        <w:rPr>
          <w:rFonts w:cstheme="minorHAnsi"/>
          <w:sz w:val="22"/>
          <w:szCs w:val="22"/>
        </w:rPr>
        <w:t xml:space="preserve"> proc. r/r)</w:t>
      </w:r>
    </w:p>
    <w:p w14:paraId="563CBA6B" w14:textId="77777777" w:rsidR="002D6D99" w:rsidRPr="004E419D" w:rsidRDefault="002D6D99" w:rsidP="00FC6636">
      <w:pPr>
        <w:pStyle w:val="Akapitzlist"/>
        <w:numPr>
          <w:ilvl w:val="0"/>
          <w:numId w:val="41"/>
        </w:numPr>
        <w:spacing w:before="240" w:after="240" w:line="276" w:lineRule="auto"/>
        <w:jc w:val="both"/>
        <w:rPr>
          <w:rFonts w:cstheme="minorHAnsi"/>
          <w:sz w:val="22"/>
          <w:szCs w:val="22"/>
        </w:rPr>
      </w:pPr>
      <w:r w:rsidRPr="004E419D">
        <w:rPr>
          <w:rFonts w:cstheme="minorHAnsi"/>
          <w:sz w:val="22"/>
          <w:szCs w:val="22"/>
        </w:rPr>
        <w:t xml:space="preserve">Pozostałe ruchomości – </w:t>
      </w:r>
      <w:r w:rsidR="000C27B1" w:rsidRPr="004E419D">
        <w:rPr>
          <w:rFonts w:cstheme="minorHAnsi"/>
          <w:sz w:val="22"/>
          <w:szCs w:val="22"/>
        </w:rPr>
        <w:t>1</w:t>
      </w:r>
      <w:r w:rsidRPr="004E419D">
        <w:rPr>
          <w:rFonts w:cstheme="minorHAnsi"/>
          <w:sz w:val="22"/>
          <w:szCs w:val="22"/>
        </w:rPr>
        <w:t>,7 mld zł (</w:t>
      </w:r>
      <w:r w:rsidR="000C27B1" w:rsidRPr="004E419D">
        <w:rPr>
          <w:rFonts w:cstheme="minorHAnsi"/>
          <w:sz w:val="22"/>
          <w:szCs w:val="22"/>
        </w:rPr>
        <w:t>spadek</w:t>
      </w:r>
      <w:r w:rsidRPr="004E419D">
        <w:rPr>
          <w:rFonts w:cstheme="minorHAnsi"/>
          <w:sz w:val="22"/>
          <w:szCs w:val="22"/>
        </w:rPr>
        <w:t xml:space="preserve"> o </w:t>
      </w:r>
      <w:r w:rsidR="000C27B1" w:rsidRPr="004E419D">
        <w:rPr>
          <w:rFonts w:cstheme="minorHAnsi"/>
          <w:sz w:val="22"/>
          <w:szCs w:val="22"/>
        </w:rPr>
        <w:t>1,1</w:t>
      </w:r>
      <w:r w:rsidRPr="004E419D">
        <w:rPr>
          <w:rFonts w:cstheme="minorHAnsi"/>
          <w:sz w:val="22"/>
          <w:szCs w:val="22"/>
        </w:rPr>
        <w:t xml:space="preserve"> proc. r/r)</w:t>
      </w:r>
    </w:p>
    <w:p w14:paraId="72C886B1" w14:textId="77777777" w:rsidR="002D6D99" w:rsidRPr="004E419D" w:rsidRDefault="002D6D99" w:rsidP="00FC6636">
      <w:pPr>
        <w:pStyle w:val="Akapitzlist"/>
        <w:numPr>
          <w:ilvl w:val="0"/>
          <w:numId w:val="41"/>
        </w:numPr>
        <w:spacing w:before="240" w:after="240" w:line="276" w:lineRule="auto"/>
        <w:jc w:val="both"/>
        <w:rPr>
          <w:rFonts w:cstheme="minorHAnsi"/>
          <w:sz w:val="22"/>
          <w:szCs w:val="22"/>
        </w:rPr>
      </w:pPr>
      <w:r w:rsidRPr="004E419D">
        <w:rPr>
          <w:rFonts w:cstheme="minorHAnsi"/>
          <w:sz w:val="22"/>
          <w:szCs w:val="22"/>
        </w:rPr>
        <w:t>Nieruchomości – 0,</w:t>
      </w:r>
      <w:r w:rsidR="007D4AF0" w:rsidRPr="004E419D">
        <w:rPr>
          <w:rFonts w:cstheme="minorHAnsi"/>
          <w:sz w:val="22"/>
          <w:szCs w:val="22"/>
        </w:rPr>
        <w:t>1</w:t>
      </w:r>
      <w:r w:rsidRPr="004E419D">
        <w:rPr>
          <w:rFonts w:cstheme="minorHAnsi"/>
          <w:sz w:val="22"/>
          <w:szCs w:val="22"/>
        </w:rPr>
        <w:t xml:space="preserve"> mld zł (spadek o </w:t>
      </w:r>
      <w:r w:rsidR="007D4AF0" w:rsidRPr="004E419D">
        <w:rPr>
          <w:rFonts w:cstheme="minorHAnsi"/>
          <w:sz w:val="22"/>
          <w:szCs w:val="22"/>
        </w:rPr>
        <w:t>70,2</w:t>
      </w:r>
      <w:r w:rsidRPr="004E419D">
        <w:rPr>
          <w:rFonts w:cstheme="minorHAnsi"/>
          <w:sz w:val="22"/>
          <w:szCs w:val="22"/>
        </w:rPr>
        <w:t xml:space="preserve"> proc. r/r/)</w:t>
      </w:r>
      <w:r w:rsidR="00BF6157" w:rsidRPr="004E419D">
        <w:rPr>
          <w:rFonts w:cstheme="minorHAnsi"/>
          <w:sz w:val="22"/>
          <w:szCs w:val="22"/>
        </w:rPr>
        <w:t>.</w:t>
      </w:r>
    </w:p>
    <w:p w14:paraId="11E41CC1" w14:textId="77777777" w:rsidR="00BF6157" w:rsidRDefault="00BF6157" w:rsidP="00BF6157">
      <w:pPr>
        <w:spacing w:before="240" w:after="240" w:line="276" w:lineRule="auto"/>
        <w:jc w:val="both"/>
        <w:rPr>
          <w:rFonts w:cstheme="minorHAnsi"/>
          <w:sz w:val="22"/>
          <w:szCs w:val="22"/>
        </w:rPr>
      </w:pPr>
      <w:r w:rsidRPr="004E419D">
        <w:rPr>
          <w:rFonts w:cstheme="minorHAnsi"/>
          <w:sz w:val="22"/>
          <w:szCs w:val="22"/>
        </w:rPr>
        <w:t xml:space="preserve">Struktura klientów potwierdza, że leasing pozostaje przede wszystkim narzędziem finansowania sektora MŚP. Ponad połowa wartości inwestycji sfinansowanych w pierwszym półroczu 2026 r. przypadła na </w:t>
      </w:r>
      <w:r w:rsidRPr="0065193A">
        <w:rPr>
          <w:rFonts w:cstheme="minorHAnsi"/>
          <w:sz w:val="22"/>
          <w:szCs w:val="22"/>
        </w:rPr>
        <w:t>przedsiębiorstwa o rocznych obrotach do 5 mln zł (</w:t>
      </w:r>
      <w:r w:rsidR="002E662F" w:rsidRPr="0065193A">
        <w:rPr>
          <w:rFonts w:cstheme="minorHAnsi"/>
          <w:sz w:val="22"/>
          <w:szCs w:val="22"/>
        </w:rPr>
        <w:t>52,1 proc.</w:t>
      </w:r>
      <w:r w:rsidRPr="0065193A">
        <w:rPr>
          <w:rFonts w:cstheme="minorHAnsi"/>
          <w:sz w:val="22"/>
          <w:szCs w:val="22"/>
        </w:rPr>
        <w:t xml:space="preserve">). </w:t>
      </w:r>
      <w:r w:rsidR="009952CE" w:rsidRPr="0065193A">
        <w:rPr>
          <w:rFonts w:cstheme="minorHAnsi"/>
          <w:sz w:val="22"/>
          <w:szCs w:val="22"/>
        </w:rPr>
        <w:t>Największe f</w:t>
      </w:r>
      <w:r w:rsidRPr="0065193A">
        <w:rPr>
          <w:rFonts w:cstheme="minorHAnsi"/>
          <w:sz w:val="22"/>
          <w:szCs w:val="22"/>
        </w:rPr>
        <w:t xml:space="preserve">irmy z obrotami powyżej 20 mln zł odpowiadały za </w:t>
      </w:r>
      <w:r w:rsidR="002E662F" w:rsidRPr="0065193A">
        <w:rPr>
          <w:rFonts w:cstheme="minorHAnsi"/>
          <w:sz w:val="22"/>
          <w:szCs w:val="22"/>
        </w:rPr>
        <w:t xml:space="preserve">udział w </w:t>
      </w:r>
      <w:r w:rsidRPr="0065193A">
        <w:rPr>
          <w:rFonts w:cstheme="minorHAnsi"/>
          <w:sz w:val="22"/>
          <w:szCs w:val="22"/>
        </w:rPr>
        <w:t>finansowani</w:t>
      </w:r>
      <w:r w:rsidR="002E662F" w:rsidRPr="0065193A">
        <w:rPr>
          <w:rFonts w:cstheme="minorHAnsi"/>
          <w:sz w:val="22"/>
          <w:szCs w:val="22"/>
        </w:rPr>
        <w:t xml:space="preserve">u rzędu </w:t>
      </w:r>
      <w:r w:rsidR="00930C94" w:rsidRPr="0065193A">
        <w:rPr>
          <w:rFonts w:cstheme="minorHAnsi"/>
          <w:sz w:val="22"/>
          <w:szCs w:val="22"/>
        </w:rPr>
        <w:t>29,6</w:t>
      </w:r>
      <w:r w:rsidR="009952CE" w:rsidRPr="0065193A">
        <w:rPr>
          <w:rFonts w:cstheme="minorHAnsi"/>
          <w:sz w:val="22"/>
          <w:szCs w:val="22"/>
        </w:rPr>
        <w:t xml:space="preserve"> proc.</w:t>
      </w:r>
      <w:r w:rsidRPr="0065193A">
        <w:rPr>
          <w:rFonts w:cstheme="minorHAnsi"/>
          <w:sz w:val="22"/>
          <w:szCs w:val="22"/>
        </w:rPr>
        <w:t xml:space="preserve">, a przedsiębiorstwa osiągające obroty od 5 do 20 mln zł – </w:t>
      </w:r>
      <w:r w:rsidR="00930C94" w:rsidRPr="0065193A">
        <w:rPr>
          <w:rFonts w:cstheme="minorHAnsi"/>
          <w:sz w:val="22"/>
          <w:szCs w:val="22"/>
        </w:rPr>
        <w:t>14</w:t>
      </w:r>
      <w:r w:rsidR="00FB77D2" w:rsidRPr="0065193A">
        <w:rPr>
          <w:rFonts w:cstheme="minorHAnsi"/>
          <w:sz w:val="22"/>
          <w:szCs w:val="22"/>
        </w:rPr>
        <w:t>,6</w:t>
      </w:r>
      <w:r w:rsidR="00930C94" w:rsidRPr="0065193A">
        <w:rPr>
          <w:rFonts w:cstheme="minorHAnsi"/>
          <w:sz w:val="22"/>
          <w:szCs w:val="22"/>
        </w:rPr>
        <w:t xml:space="preserve"> proc.</w:t>
      </w:r>
    </w:p>
    <w:p w14:paraId="5AF2C85F" w14:textId="59569F07" w:rsidR="0065193A" w:rsidRPr="0065193A" w:rsidRDefault="0065193A" w:rsidP="00BF6157">
      <w:pPr>
        <w:spacing w:before="240" w:after="240" w:line="276" w:lineRule="auto"/>
        <w:jc w:val="both"/>
        <w:rPr>
          <w:rFonts w:cstheme="minorHAnsi"/>
          <w:sz w:val="22"/>
          <w:szCs w:val="22"/>
        </w:rPr>
      </w:pPr>
      <w:r>
        <w:rPr>
          <w:rFonts w:cstheme="minorHAnsi"/>
          <w:noProof/>
          <w:sz w:val="22"/>
          <w:szCs w:val="22"/>
        </w:rPr>
        <w:lastRenderedPageBreak/>
        <w:drawing>
          <wp:inline distT="0" distB="0" distL="0" distR="0" wp14:anchorId="6B1FB37F" wp14:editId="4CAC0269">
            <wp:extent cx="5759450" cy="3407410"/>
            <wp:effectExtent l="0" t="0" r="0" b="2540"/>
            <wp:docPr id="159806547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65479" name="Obraz 1598065479"/>
                    <pic:cNvPicPr/>
                  </pic:nvPicPr>
                  <pic:blipFill>
                    <a:blip r:embed="rId12">
                      <a:extLst>
                        <a:ext uri="{28A0092B-C50C-407E-A947-70E740481C1C}">
                          <a14:useLocalDpi xmlns:a14="http://schemas.microsoft.com/office/drawing/2010/main" val="0"/>
                        </a:ext>
                      </a:extLst>
                    </a:blip>
                    <a:stretch>
                      <a:fillRect/>
                    </a:stretch>
                  </pic:blipFill>
                  <pic:spPr>
                    <a:xfrm>
                      <a:off x="0" y="0"/>
                      <a:ext cx="5759450" cy="3407410"/>
                    </a:xfrm>
                    <a:prstGeom prst="rect">
                      <a:avLst/>
                    </a:prstGeom>
                  </pic:spPr>
                </pic:pic>
              </a:graphicData>
            </a:graphic>
          </wp:inline>
        </w:drawing>
      </w:r>
    </w:p>
    <w:p w14:paraId="12078DC7" w14:textId="77777777" w:rsidR="00F61558" w:rsidRPr="004E419D" w:rsidRDefault="006F5411" w:rsidP="00F61558">
      <w:pPr>
        <w:spacing w:before="240" w:after="240" w:line="276" w:lineRule="auto"/>
        <w:jc w:val="both"/>
        <w:rPr>
          <w:rFonts w:cstheme="minorHAnsi"/>
          <w:b/>
          <w:bCs/>
          <w:color w:val="0070C0"/>
          <w:sz w:val="22"/>
          <w:szCs w:val="22"/>
        </w:rPr>
      </w:pPr>
      <w:r w:rsidRPr="004E419D">
        <w:rPr>
          <w:rFonts w:cstheme="minorHAnsi"/>
          <w:b/>
          <w:bCs/>
          <w:color w:val="0070C0"/>
          <w:sz w:val="22"/>
          <w:szCs w:val="22"/>
        </w:rPr>
        <w:t>Deregulacja dla inwestycji</w:t>
      </w:r>
    </w:p>
    <w:p w14:paraId="46D6C331" w14:textId="77777777" w:rsidR="004C4E54" w:rsidRPr="004E419D" w:rsidRDefault="00F61558" w:rsidP="004C4E54">
      <w:pPr>
        <w:spacing w:before="240" w:after="240" w:line="276" w:lineRule="auto"/>
        <w:jc w:val="both"/>
        <w:rPr>
          <w:rFonts w:cstheme="minorHAnsi"/>
          <w:sz w:val="22"/>
          <w:szCs w:val="22"/>
        </w:rPr>
      </w:pPr>
      <w:r w:rsidRPr="004E419D">
        <w:rPr>
          <w:rFonts w:cstheme="minorHAnsi"/>
          <w:sz w:val="22"/>
          <w:szCs w:val="22"/>
        </w:rPr>
        <w:t xml:space="preserve">Związek Polskiego Leasingu konsekwentnie angażuje się również w działania na rzecz usprawnienia otoczenia regulacyjnego rynku. </w:t>
      </w:r>
      <w:r w:rsidR="004227C0" w:rsidRPr="004E419D">
        <w:rPr>
          <w:rFonts w:cstheme="minorHAnsi"/>
          <w:sz w:val="22"/>
          <w:szCs w:val="22"/>
        </w:rPr>
        <w:t>Organizacja</w:t>
      </w:r>
      <w:r w:rsidR="004C4E54" w:rsidRPr="004E419D">
        <w:rPr>
          <w:rFonts w:cstheme="minorHAnsi"/>
          <w:sz w:val="22"/>
          <w:szCs w:val="22"/>
        </w:rPr>
        <w:t xml:space="preserve"> przekazał</w:t>
      </w:r>
      <w:r w:rsidR="004227C0" w:rsidRPr="004E419D">
        <w:rPr>
          <w:rFonts w:cstheme="minorHAnsi"/>
          <w:sz w:val="22"/>
          <w:szCs w:val="22"/>
        </w:rPr>
        <w:t>a</w:t>
      </w:r>
      <w:r w:rsidR="004C4E54" w:rsidRPr="004E419D">
        <w:rPr>
          <w:rFonts w:cstheme="minorHAnsi"/>
          <w:sz w:val="22"/>
          <w:szCs w:val="22"/>
        </w:rPr>
        <w:t xml:space="preserve"> do Ministerstwa Finansów propozycje zmian do kolejnego pakietu </w:t>
      </w:r>
      <w:proofErr w:type="spellStart"/>
      <w:r w:rsidR="004C4E54" w:rsidRPr="004E419D">
        <w:rPr>
          <w:rFonts w:cstheme="minorHAnsi"/>
          <w:sz w:val="22"/>
          <w:szCs w:val="22"/>
        </w:rPr>
        <w:t>deregulacyjnego</w:t>
      </w:r>
      <w:proofErr w:type="spellEnd"/>
      <w:r w:rsidR="004C4E54" w:rsidRPr="004E419D">
        <w:rPr>
          <w:rFonts w:cstheme="minorHAnsi"/>
          <w:sz w:val="22"/>
          <w:szCs w:val="22"/>
        </w:rPr>
        <w:t>. ZPL postuluje m.in. rozszerzenie dostępu firm leasingowych do danych Biura Informacji Kredytowej, umożliwienie automatycznego podejmowania decyzji kredytowych oraz skuteczniejszą wymianę informacji służących przeciwdziałaniu wyłudzeniom. Zdaniem Związku rozwiązania te zwiększą bezpieczeństwo rynku finansowego, ograniczą zbędne bariery regulacyjne i usprawnią finansowanie inwestycji przedsiębiorców.</w:t>
      </w:r>
    </w:p>
    <w:p w14:paraId="380B011C" w14:textId="77777777" w:rsidR="004C4E54" w:rsidRPr="004E419D" w:rsidRDefault="004C4E54" w:rsidP="00BF6157">
      <w:pPr>
        <w:spacing w:before="240" w:after="240" w:line="276" w:lineRule="auto"/>
        <w:jc w:val="both"/>
        <w:rPr>
          <w:rFonts w:cstheme="minorHAnsi"/>
          <w:sz w:val="22"/>
          <w:szCs w:val="22"/>
        </w:rPr>
      </w:pPr>
      <w:r w:rsidRPr="004E419D">
        <w:rPr>
          <w:rFonts w:cstheme="minorHAnsi"/>
          <w:sz w:val="22"/>
          <w:szCs w:val="22"/>
        </w:rPr>
        <w:t xml:space="preserve">– </w:t>
      </w:r>
      <w:r w:rsidRPr="004E419D">
        <w:rPr>
          <w:rFonts w:cstheme="minorHAnsi"/>
          <w:i/>
          <w:iCs/>
          <w:sz w:val="22"/>
          <w:szCs w:val="22"/>
        </w:rPr>
        <w:t xml:space="preserve">Dobre prawo powinno ułatwiać finansowanie inwestycji przedsiębiorców. Nasze propozycje do kolejnego pakietu </w:t>
      </w:r>
      <w:proofErr w:type="spellStart"/>
      <w:r w:rsidRPr="004E419D">
        <w:rPr>
          <w:rFonts w:cstheme="minorHAnsi"/>
          <w:i/>
          <w:iCs/>
          <w:sz w:val="22"/>
          <w:szCs w:val="22"/>
        </w:rPr>
        <w:t>deregulacyjnego</w:t>
      </w:r>
      <w:proofErr w:type="spellEnd"/>
      <w:r w:rsidRPr="004E419D">
        <w:rPr>
          <w:rFonts w:cstheme="minorHAnsi"/>
          <w:i/>
          <w:iCs/>
          <w:sz w:val="22"/>
          <w:szCs w:val="22"/>
        </w:rPr>
        <w:t xml:space="preserve"> zwiększają bezpieczeństwo rynku, ograniczają zbędne bariery i pozwalają szybciej podejmować decyzje o finansowaniu inwestycji</w:t>
      </w:r>
      <w:r w:rsidRPr="004E419D">
        <w:rPr>
          <w:rFonts w:cstheme="minorHAnsi"/>
          <w:sz w:val="22"/>
          <w:szCs w:val="22"/>
        </w:rPr>
        <w:t xml:space="preserve"> – mówi </w:t>
      </w:r>
      <w:r w:rsidRPr="004E419D">
        <w:rPr>
          <w:rFonts w:cstheme="minorHAnsi"/>
          <w:b/>
          <w:bCs/>
          <w:sz w:val="22"/>
          <w:szCs w:val="22"/>
        </w:rPr>
        <w:t>Monika Constant,</w:t>
      </w:r>
      <w:r w:rsidRPr="004E419D">
        <w:rPr>
          <w:rFonts w:cstheme="minorHAnsi"/>
          <w:sz w:val="22"/>
          <w:szCs w:val="22"/>
        </w:rPr>
        <w:t xml:space="preserve"> prezeska Związku Polskiego Leasingu.</w:t>
      </w:r>
    </w:p>
    <w:p w14:paraId="19366A4A" w14:textId="77777777" w:rsidR="004503EC" w:rsidRPr="004E419D" w:rsidRDefault="007951CC" w:rsidP="007D4AF0">
      <w:pPr>
        <w:spacing w:before="240" w:after="240" w:line="276" w:lineRule="auto"/>
        <w:jc w:val="both"/>
        <w:rPr>
          <w:rFonts w:cstheme="minorHAnsi"/>
          <w:sz w:val="32"/>
          <w:szCs w:val="32"/>
        </w:rPr>
      </w:pPr>
      <w:r>
        <w:rPr>
          <w:rFonts w:cstheme="minorHAnsi"/>
          <w:b/>
          <w:bCs/>
          <w:color w:val="0070C0"/>
          <w:sz w:val="32"/>
          <w:szCs w:val="32"/>
        </w:rPr>
        <w:pict w14:anchorId="14C3B6CE">
          <v:rect id="_x0000_i1025" style="width:0;height:1.5pt" o:hralign="center" o:hrstd="t" o:hr="t" fillcolor="#a0a0a0" stroked="f"/>
        </w:pict>
      </w:r>
    </w:p>
    <w:p w14:paraId="2C95279B" w14:textId="77777777" w:rsidR="008B319C" w:rsidRPr="004E419D" w:rsidRDefault="008B319C" w:rsidP="007D4AF0">
      <w:pPr>
        <w:spacing w:before="240" w:line="276" w:lineRule="auto"/>
        <w:jc w:val="both"/>
        <w:rPr>
          <w:rFonts w:cstheme="minorHAnsi"/>
          <w:b/>
          <w:sz w:val="20"/>
          <w:szCs w:val="20"/>
          <w:shd w:val="clear" w:color="auto" w:fill="FFFFFF"/>
        </w:rPr>
      </w:pPr>
      <w:r w:rsidRPr="004E419D">
        <w:rPr>
          <w:rFonts w:cstheme="minorHAnsi"/>
          <w:b/>
          <w:sz w:val="20"/>
          <w:szCs w:val="20"/>
          <w:shd w:val="clear" w:color="auto" w:fill="FFFFFF"/>
        </w:rPr>
        <w:t>Związek Polskiego Leasingu</w:t>
      </w:r>
    </w:p>
    <w:p w14:paraId="711D29A4" w14:textId="77777777" w:rsidR="000026C6" w:rsidRPr="004E419D" w:rsidRDefault="004F7B4A" w:rsidP="007D4AF0">
      <w:pPr>
        <w:tabs>
          <w:tab w:val="num" w:pos="720"/>
        </w:tabs>
        <w:spacing w:before="240" w:line="276" w:lineRule="auto"/>
        <w:jc w:val="both"/>
        <w:rPr>
          <w:rFonts w:cstheme="minorHAnsi"/>
          <w:sz w:val="16"/>
          <w:szCs w:val="16"/>
          <w:shd w:val="clear" w:color="auto" w:fill="FFFFFF"/>
        </w:rPr>
      </w:pPr>
      <w:r w:rsidRPr="004E419D">
        <w:rPr>
          <w:rFonts w:cstheme="minorHAnsi"/>
          <w:bCs/>
          <w:sz w:val="16"/>
          <w:szCs w:val="16"/>
          <w:shd w:val="clear" w:color="auto" w:fill="FFFFFF"/>
        </w:rPr>
        <w:t xml:space="preserve">To </w:t>
      </w:r>
      <w:r w:rsidRPr="004E419D">
        <w:rPr>
          <w:rFonts w:cstheme="minorHAnsi"/>
          <w:sz w:val="16"/>
          <w:szCs w:val="16"/>
          <w:shd w:val="clear" w:color="auto" w:fill="FFFFFF"/>
        </w:rPr>
        <w:t>organizacja reprezentująca branżę leasingową w Polsce. Związek zrzesza 3</w:t>
      </w:r>
      <w:r w:rsidR="000F3205" w:rsidRPr="004E419D">
        <w:rPr>
          <w:rFonts w:cstheme="minorHAnsi"/>
          <w:sz w:val="16"/>
          <w:szCs w:val="16"/>
          <w:shd w:val="clear" w:color="auto" w:fill="FFFFFF"/>
        </w:rPr>
        <w:t>7</w:t>
      </w:r>
      <w:r w:rsidRPr="004E419D">
        <w:rPr>
          <w:rFonts w:cstheme="minorHAnsi"/>
          <w:sz w:val="16"/>
          <w:szCs w:val="16"/>
          <w:shd w:val="clear" w:color="auto" w:fill="FFFFFF"/>
        </w:rPr>
        <w:t xml:space="preserve"> podmiotów obejmujące ponad 90</w:t>
      </w:r>
      <w:r w:rsidR="00A10ACD" w:rsidRPr="004E419D">
        <w:rPr>
          <w:rFonts w:cstheme="minorHAnsi"/>
          <w:sz w:val="16"/>
          <w:szCs w:val="16"/>
          <w:shd w:val="clear" w:color="auto" w:fill="FFFFFF"/>
        </w:rPr>
        <w:t xml:space="preserve"> proc.</w:t>
      </w:r>
      <w:r w:rsidRPr="004E419D">
        <w:rPr>
          <w:rFonts w:cstheme="minorHAnsi"/>
          <w:sz w:val="16"/>
          <w:szCs w:val="16"/>
          <w:shd w:val="clear" w:color="auto" w:fill="FFFFFF"/>
        </w:rPr>
        <w:t xml:space="preserve"> sektora: 3</w:t>
      </w:r>
      <w:r w:rsidR="000F3205" w:rsidRPr="004E419D">
        <w:rPr>
          <w:rFonts w:cstheme="minorHAnsi"/>
          <w:sz w:val="16"/>
          <w:szCs w:val="16"/>
          <w:shd w:val="clear" w:color="auto" w:fill="FFFFFF"/>
        </w:rPr>
        <w:t>6</w:t>
      </w:r>
      <w:r w:rsidRPr="004E419D">
        <w:rPr>
          <w:rFonts w:cstheme="minorHAnsi"/>
          <w:sz w:val="16"/>
          <w:szCs w:val="16"/>
          <w:shd w:val="clear" w:color="auto" w:fill="FFFFFF"/>
        </w:rPr>
        <w:t xml:space="preserve"> firm leasingowych oraz Polski Związek Wynajmu i Leasingu Pojazdów. ZPL prowadzi działania wizerunkowe i edukacyjne na rzecz propagowania leasingu jako narzędzia wspierającego rozwój przedsiębiorczości. Do zadań ZPL należy monitorowanie, opiniowanie oraz opracowywanie ekspertyz w zakresie regulacji dotyczących leasingu. Związek </w:t>
      </w:r>
      <w:r w:rsidR="00E76917" w:rsidRPr="004E419D">
        <w:rPr>
          <w:rFonts w:cstheme="minorHAnsi"/>
          <w:sz w:val="16"/>
          <w:szCs w:val="16"/>
          <w:shd w:val="clear" w:color="auto" w:fill="FFFFFF"/>
        </w:rPr>
        <w:t xml:space="preserve">jest aktywnym członkiem Leaseurope – europejskiej federacji organizacji branży leasingowej i wynajmu pojazdów, zrzeszającej 45 stowarzyszeń z 32 krajów Europy. </w:t>
      </w:r>
      <w:r w:rsidRPr="004E419D">
        <w:rPr>
          <w:rFonts w:cstheme="minorHAnsi"/>
          <w:sz w:val="16"/>
          <w:szCs w:val="16"/>
          <w:shd w:val="clear" w:color="auto" w:fill="FFFFFF"/>
        </w:rPr>
        <w:t xml:space="preserve">W 2024 roku ZPL obchodził 30-lecie istnienia. W ciągu </w:t>
      </w:r>
      <w:r w:rsidRPr="004E419D">
        <w:rPr>
          <w:rFonts w:cstheme="minorHAnsi"/>
          <w:sz w:val="16"/>
          <w:szCs w:val="16"/>
          <w:shd w:val="clear" w:color="auto" w:fill="FFFFFF"/>
        </w:rPr>
        <w:lastRenderedPageBreak/>
        <w:t xml:space="preserve">trzech dekad firmy leasingowe przeznaczyły ponad 1 bln zł na inwestycje przedsiębiorstw działających w Polsce. </w:t>
      </w:r>
      <w:r w:rsidR="000F3205" w:rsidRPr="004E419D">
        <w:rPr>
          <w:rFonts w:cstheme="minorHAnsi"/>
          <w:sz w:val="16"/>
          <w:szCs w:val="16"/>
          <w:shd w:val="clear" w:color="auto" w:fill="FFFFFF"/>
        </w:rPr>
        <w:t xml:space="preserve">W 2025 roku </w:t>
      </w:r>
      <w:r w:rsidR="000026C6" w:rsidRPr="004E419D">
        <w:rPr>
          <w:rFonts w:cstheme="minorHAnsi"/>
          <w:sz w:val="16"/>
          <w:szCs w:val="16"/>
          <w:shd w:val="clear" w:color="auto" w:fill="FFFFFF"/>
        </w:rPr>
        <w:t>firmy leasingowe sfinansowały inwestycje przedsiębiorstw na kwotę 119,5 mld zł. Oznacza to wzrost rynku o 8,1 proc. r/r.</w:t>
      </w:r>
    </w:p>
    <w:p w14:paraId="06D36B99" w14:textId="77777777" w:rsidR="008B319C" w:rsidRPr="004E419D" w:rsidRDefault="008B319C" w:rsidP="007D4AF0">
      <w:pPr>
        <w:spacing w:line="276" w:lineRule="auto"/>
        <w:jc w:val="both"/>
        <w:rPr>
          <w:rFonts w:cstheme="minorHAnsi"/>
          <w:sz w:val="16"/>
          <w:szCs w:val="16"/>
          <w:shd w:val="clear" w:color="auto" w:fill="FFFFFF"/>
        </w:rPr>
      </w:pPr>
    </w:p>
    <w:p w14:paraId="77D37929" w14:textId="77777777" w:rsidR="008B319C" w:rsidRPr="004E419D" w:rsidRDefault="008B319C" w:rsidP="007D4AF0">
      <w:pPr>
        <w:spacing w:line="276" w:lineRule="auto"/>
        <w:jc w:val="both"/>
      </w:pPr>
      <w:r w:rsidRPr="004E419D">
        <w:rPr>
          <w:rFonts w:cstheme="minorHAnsi"/>
          <w:sz w:val="16"/>
          <w:szCs w:val="16"/>
          <w:shd w:val="clear" w:color="auto" w:fill="FFFFFF"/>
        </w:rPr>
        <w:t xml:space="preserve">Dodatkowe informacje: </w:t>
      </w:r>
      <w:hyperlink r:id="rId13" w:history="1">
        <w:r w:rsidRPr="004E419D">
          <w:rPr>
            <w:rStyle w:val="Hipercze"/>
            <w:rFonts w:cstheme="minorHAnsi"/>
            <w:sz w:val="16"/>
            <w:szCs w:val="16"/>
            <w:shd w:val="clear" w:color="auto" w:fill="FFFFFF"/>
          </w:rPr>
          <w:t>www.leasing.org.pl</w:t>
        </w:r>
      </w:hyperlink>
    </w:p>
    <w:p w14:paraId="06DC1D06" w14:textId="77777777" w:rsidR="008B319C" w:rsidRPr="004E419D" w:rsidRDefault="007951CC" w:rsidP="007D4AF0">
      <w:pPr>
        <w:spacing w:line="276" w:lineRule="auto"/>
        <w:jc w:val="both"/>
      </w:pPr>
      <w:r>
        <w:rPr>
          <w:rFonts w:cstheme="minorHAnsi"/>
          <w:b/>
          <w:bCs/>
          <w:color w:val="0070C0"/>
          <w:sz w:val="32"/>
          <w:szCs w:val="32"/>
        </w:rPr>
        <w:pict w14:anchorId="3348AD04">
          <v:rect id="_x0000_i1026" style="width:0;height:1.5pt" o:hralign="center" o:hrstd="t" o:hr="t" fillcolor="#a0a0a0" stroked="f"/>
        </w:pict>
      </w:r>
    </w:p>
    <w:p w14:paraId="793F1BFA" w14:textId="77777777" w:rsidR="008B319C" w:rsidRPr="004E419D" w:rsidRDefault="008B319C" w:rsidP="007D4AF0">
      <w:pPr>
        <w:spacing w:line="276" w:lineRule="auto"/>
        <w:jc w:val="both"/>
        <w:rPr>
          <w:rFonts w:cstheme="minorHAnsi"/>
          <w:b/>
          <w:sz w:val="18"/>
          <w:szCs w:val="18"/>
          <w:shd w:val="clear" w:color="auto" w:fill="FFFFFF"/>
        </w:rPr>
      </w:pPr>
      <w:r w:rsidRPr="004E419D">
        <w:rPr>
          <w:rFonts w:cstheme="minorHAnsi"/>
          <w:b/>
          <w:sz w:val="18"/>
          <w:szCs w:val="18"/>
          <w:shd w:val="clear" w:color="auto" w:fill="FFFFFF"/>
        </w:rPr>
        <w:t>Kontakt dla mediów:</w:t>
      </w:r>
    </w:p>
    <w:p w14:paraId="05213A30" w14:textId="77777777" w:rsidR="008B319C" w:rsidRPr="004E419D" w:rsidRDefault="008B319C" w:rsidP="007D4AF0">
      <w:pPr>
        <w:spacing w:line="276" w:lineRule="auto"/>
        <w:jc w:val="both"/>
        <w:rPr>
          <w:rFonts w:cstheme="minorHAnsi"/>
          <w:sz w:val="18"/>
          <w:szCs w:val="18"/>
        </w:rPr>
      </w:pPr>
      <w:r w:rsidRPr="004E419D">
        <w:rPr>
          <w:rFonts w:cstheme="minorHAnsi"/>
          <w:sz w:val="18"/>
          <w:szCs w:val="18"/>
        </w:rPr>
        <w:t>Katarzyna Ostrowska</w:t>
      </w:r>
    </w:p>
    <w:p w14:paraId="66C1FA5C" w14:textId="77777777" w:rsidR="008B319C" w:rsidRPr="004E419D" w:rsidRDefault="008B319C" w:rsidP="007D4AF0">
      <w:pPr>
        <w:spacing w:line="276" w:lineRule="auto"/>
        <w:jc w:val="both"/>
        <w:rPr>
          <w:rFonts w:cstheme="minorHAnsi"/>
          <w:sz w:val="18"/>
          <w:szCs w:val="18"/>
        </w:rPr>
      </w:pPr>
      <w:r w:rsidRPr="004E419D">
        <w:rPr>
          <w:rFonts w:cstheme="minorHAnsi"/>
          <w:sz w:val="18"/>
          <w:szCs w:val="18"/>
        </w:rPr>
        <w:t>Dyrektorka ds. komunikacji i PR</w:t>
      </w:r>
    </w:p>
    <w:p w14:paraId="3AAE7ABB" w14:textId="77777777" w:rsidR="008B319C" w:rsidRPr="004E419D" w:rsidRDefault="008B319C" w:rsidP="007D4AF0">
      <w:pPr>
        <w:spacing w:line="276" w:lineRule="auto"/>
        <w:jc w:val="both"/>
        <w:rPr>
          <w:rFonts w:cstheme="minorHAnsi"/>
          <w:sz w:val="18"/>
          <w:szCs w:val="18"/>
          <w:lang w:val="de-DE"/>
        </w:rPr>
      </w:pPr>
      <w:proofErr w:type="spellStart"/>
      <w:r w:rsidRPr="004E419D">
        <w:rPr>
          <w:rFonts w:cstheme="minorHAnsi"/>
          <w:sz w:val="18"/>
          <w:szCs w:val="18"/>
          <w:lang w:val="de-DE"/>
        </w:rPr>
        <w:t>e-mail</w:t>
      </w:r>
      <w:proofErr w:type="spellEnd"/>
      <w:r w:rsidRPr="004E419D">
        <w:rPr>
          <w:rFonts w:cstheme="minorHAnsi"/>
          <w:sz w:val="18"/>
          <w:szCs w:val="18"/>
          <w:lang w:val="de-DE"/>
        </w:rPr>
        <w:t xml:space="preserve">: katarzyna.ostrowska@leasing.org.pl </w:t>
      </w:r>
    </w:p>
    <w:p w14:paraId="52A73392" w14:textId="77777777" w:rsidR="008B319C" w:rsidRPr="004E419D" w:rsidRDefault="008B319C" w:rsidP="007D4AF0">
      <w:pPr>
        <w:spacing w:line="276" w:lineRule="auto"/>
        <w:jc w:val="both"/>
        <w:rPr>
          <w:rFonts w:cstheme="minorHAnsi"/>
          <w:sz w:val="18"/>
          <w:szCs w:val="18"/>
        </w:rPr>
      </w:pPr>
      <w:r w:rsidRPr="004E419D">
        <w:rPr>
          <w:rFonts w:cstheme="minorHAnsi"/>
          <w:sz w:val="18"/>
          <w:szCs w:val="18"/>
        </w:rPr>
        <w:t>tel.: (+48) 697 770 498</w:t>
      </w:r>
    </w:p>
    <w:p w14:paraId="7372477F" w14:textId="77777777" w:rsidR="008B319C" w:rsidRPr="004E419D" w:rsidRDefault="008B319C" w:rsidP="007D4AF0">
      <w:pPr>
        <w:spacing w:line="276" w:lineRule="auto"/>
        <w:jc w:val="both"/>
        <w:rPr>
          <w:rFonts w:cstheme="minorHAnsi"/>
          <w:sz w:val="18"/>
          <w:szCs w:val="18"/>
        </w:rPr>
      </w:pPr>
      <w:r w:rsidRPr="004E419D">
        <w:rPr>
          <w:rFonts w:cstheme="minorHAnsi"/>
          <w:sz w:val="18"/>
          <w:szCs w:val="18"/>
        </w:rPr>
        <w:t>Śledź nas na</w:t>
      </w:r>
      <w:r w:rsidR="00FE1A5E" w:rsidRPr="004E419D">
        <w:rPr>
          <w:rFonts w:cstheme="minorHAnsi"/>
          <w:sz w:val="18"/>
          <w:szCs w:val="18"/>
        </w:rPr>
        <w:t>:</w:t>
      </w:r>
      <w:r w:rsidRPr="004E419D">
        <w:rPr>
          <w:rFonts w:cstheme="minorHAnsi"/>
          <w:sz w:val="18"/>
          <w:szCs w:val="18"/>
        </w:rPr>
        <w:t xml:space="preserve"> </w:t>
      </w:r>
    </w:p>
    <w:p w14:paraId="022DBCB7" w14:textId="77777777" w:rsidR="008B319C" w:rsidRPr="00055E7F" w:rsidRDefault="008B319C" w:rsidP="007D4AF0">
      <w:pPr>
        <w:spacing w:line="276" w:lineRule="auto"/>
        <w:jc w:val="both"/>
        <w:rPr>
          <w:rFonts w:cstheme="minorHAnsi"/>
        </w:rPr>
      </w:pPr>
      <w:r w:rsidRPr="004E419D">
        <w:rPr>
          <w:rFonts w:cstheme="minorHAnsi"/>
          <w:noProof/>
          <w:lang w:eastAsia="pl-PL"/>
          <w14:ligatures w14:val="none"/>
        </w:rPr>
        <w:drawing>
          <wp:inline distT="0" distB="0" distL="0" distR="0" wp14:anchorId="0622446E" wp14:editId="6BA7D87F">
            <wp:extent cx="270053" cy="270053"/>
            <wp:effectExtent l="0" t="0" r="0" b="0"/>
            <wp:docPr id="2114648539" name="Obraz 1" descr="Obraz zawierający krąg, Grafika, symbol, Jaskrawoniebieski&#10;&#10;Opis wygenerowany automatyczni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539" name="Obraz 1" descr="Obraz zawierający krąg, Grafika, symbol, Jaskrawoniebieski&#10;&#10;Opis wygenerowany automatycznie">
                      <a:hlinkClick r:id="rId14"/>
                    </pic:cNvPr>
                    <pic:cNvPicPr/>
                  </pic:nvPicPr>
                  <pic:blipFill>
                    <a:blip r:embed="rId15">
                      <a:extLst>
                        <a:ext uri="{28A0092B-C50C-407E-A947-70E740481C1C}">
                          <a14:useLocalDpi xmlns:a14="http://schemas.microsoft.com/office/drawing/2010/main" val="0"/>
                        </a:ext>
                      </a:extLst>
                    </a:blip>
                    <a:stretch>
                      <a:fillRect/>
                    </a:stretch>
                  </pic:blipFill>
                  <pic:spPr>
                    <a:xfrm>
                      <a:off x="0" y="0"/>
                      <a:ext cx="276415" cy="276415"/>
                    </a:xfrm>
                    <a:prstGeom prst="rect">
                      <a:avLst/>
                    </a:prstGeom>
                  </pic:spPr>
                </pic:pic>
              </a:graphicData>
            </a:graphic>
          </wp:inline>
        </w:drawing>
      </w:r>
      <w:r w:rsidRPr="004E419D">
        <w:rPr>
          <w:rFonts w:cstheme="minorHAnsi"/>
          <w:noProof/>
          <w:lang w:eastAsia="pl-PL"/>
          <w14:ligatures w14:val="none"/>
        </w:rPr>
        <w:drawing>
          <wp:inline distT="0" distB="0" distL="0" distR="0" wp14:anchorId="2129643E" wp14:editId="4BF76BC6">
            <wp:extent cx="270662" cy="270662"/>
            <wp:effectExtent l="0" t="0" r="0" b="0"/>
            <wp:docPr id="1687359088" name="Obraz 2" descr="Obraz zawierający symbol, Czcionka, biały, Grafika&#10;&#10;Opis wygenerowany automatyczni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59088" name="Obraz 2" descr="Obraz zawierający symbol, Czcionka, biały, Grafika&#10;&#10;Opis wygenerowany automatycznie">
                      <a:hlinkClick r:id="rId16"/>
                    </pic:cNvPr>
                    <pic:cNvPicPr/>
                  </pic:nvPicPr>
                  <pic:blipFill>
                    <a:blip r:embed="rId17">
                      <a:extLst>
                        <a:ext uri="{28A0092B-C50C-407E-A947-70E740481C1C}">
                          <a14:useLocalDpi xmlns:a14="http://schemas.microsoft.com/office/drawing/2010/main" val="0"/>
                        </a:ext>
                      </a:extLst>
                    </a:blip>
                    <a:stretch>
                      <a:fillRect/>
                    </a:stretch>
                  </pic:blipFill>
                  <pic:spPr>
                    <a:xfrm>
                      <a:off x="0" y="0"/>
                      <a:ext cx="278162" cy="278162"/>
                    </a:xfrm>
                    <a:prstGeom prst="rect">
                      <a:avLst/>
                    </a:prstGeom>
                  </pic:spPr>
                </pic:pic>
              </a:graphicData>
            </a:graphic>
          </wp:inline>
        </w:drawing>
      </w:r>
    </w:p>
    <w:sectPr w:rsidR="008B319C" w:rsidRPr="00055E7F" w:rsidSect="00684E74">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DFF4B" w14:textId="77777777" w:rsidR="007951CC" w:rsidRDefault="007951CC" w:rsidP="00C64445">
      <w:r>
        <w:separator/>
      </w:r>
    </w:p>
  </w:endnote>
  <w:endnote w:type="continuationSeparator" w:id="0">
    <w:p w14:paraId="3CC199D3" w14:textId="77777777" w:rsidR="007951CC" w:rsidRDefault="007951CC" w:rsidP="00C6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CE18" w14:textId="77777777" w:rsidR="00C74B73" w:rsidRDefault="00C74B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C232B" w14:textId="77777777" w:rsidR="00C64445" w:rsidRDefault="0084396B">
    <w:pPr>
      <w:pStyle w:val="Stopka"/>
    </w:pPr>
    <w:r>
      <w:rPr>
        <w:noProof/>
      </w:rPr>
      <w:drawing>
        <wp:inline distT="0" distB="0" distL="0" distR="0" wp14:anchorId="6FA2CE77" wp14:editId="53D7A0F1">
          <wp:extent cx="5760720" cy="369570"/>
          <wp:effectExtent l="0" t="0" r="5080" b="0"/>
          <wp:docPr id="114867553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75538" name="Obraz 1148675538"/>
                  <pic:cNvPicPr/>
                </pic:nvPicPr>
                <pic:blipFill>
                  <a:blip r:embed="rId1">
                    <a:extLst>
                      <a:ext uri="{28A0092B-C50C-407E-A947-70E740481C1C}">
                        <a14:useLocalDpi xmlns:a14="http://schemas.microsoft.com/office/drawing/2010/main" val="0"/>
                      </a:ext>
                    </a:extLst>
                  </a:blip>
                  <a:stretch>
                    <a:fillRect/>
                  </a:stretch>
                </pic:blipFill>
                <pic:spPr>
                  <a:xfrm>
                    <a:off x="0" y="0"/>
                    <a:ext cx="5760720" cy="369570"/>
                  </a:xfrm>
                  <a:prstGeom prst="rect">
                    <a:avLst/>
                  </a:prstGeom>
                </pic:spPr>
              </pic:pic>
            </a:graphicData>
          </a:graphic>
        </wp:inline>
      </w:drawing>
    </w:r>
    <w:r w:rsidR="00C64445">
      <w:ptab w:relativeTo="margin" w:alignment="center" w:leader="none"/>
    </w:r>
    <w:r w:rsidR="00C64445">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87A53" w14:textId="77777777" w:rsidR="00C74B73" w:rsidRDefault="00C74B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AF993" w14:textId="77777777" w:rsidR="007951CC" w:rsidRDefault="007951CC" w:rsidP="00C64445">
      <w:r>
        <w:separator/>
      </w:r>
    </w:p>
  </w:footnote>
  <w:footnote w:type="continuationSeparator" w:id="0">
    <w:p w14:paraId="098CAD23" w14:textId="77777777" w:rsidR="007951CC" w:rsidRDefault="007951CC" w:rsidP="00C6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AC14" w14:textId="77777777" w:rsidR="00C74B73" w:rsidRDefault="00C74B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690CA" w14:textId="77777777" w:rsidR="00C64445" w:rsidRDefault="00684E74">
    <w:pPr>
      <w:pStyle w:val="Nagwek"/>
    </w:pPr>
    <w:r>
      <w:rPr>
        <w:noProof/>
      </w:rPr>
      <w:drawing>
        <wp:inline distT="0" distB="0" distL="0" distR="0" wp14:anchorId="163A6AC6" wp14:editId="5A1EEE24">
          <wp:extent cx="1371600" cy="1126974"/>
          <wp:effectExtent l="0" t="0" r="0" b="0"/>
          <wp:docPr id="327716347" name="Obraz 1" descr="Obraz zawierający tekst, Czcionka, Grafi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6347" name="Obraz 1" descr="Obraz zawierający tekst, Czcionka, Grafika, logo&#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382987" cy="1136330"/>
                  </a:xfrm>
                  <a:prstGeom prst="rect">
                    <a:avLst/>
                  </a:prstGeom>
                </pic:spPr>
              </pic:pic>
            </a:graphicData>
          </a:graphic>
        </wp:inline>
      </w:drawing>
    </w:r>
  </w:p>
  <w:p w14:paraId="218D66AF" w14:textId="77777777" w:rsidR="00C64445" w:rsidRDefault="00C644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0A334" w14:textId="77777777" w:rsidR="00C74B73" w:rsidRDefault="00C74B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151B"/>
    <w:multiLevelType w:val="hybridMultilevel"/>
    <w:tmpl w:val="FAF63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1941A5"/>
    <w:multiLevelType w:val="hybridMultilevel"/>
    <w:tmpl w:val="353471EC"/>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7155241"/>
    <w:multiLevelType w:val="multilevel"/>
    <w:tmpl w:val="BAD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B04A2"/>
    <w:multiLevelType w:val="hybridMultilevel"/>
    <w:tmpl w:val="9A88D0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8A7119A"/>
    <w:multiLevelType w:val="hybridMultilevel"/>
    <w:tmpl w:val="F6269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F54542"/>
    <w:multiLevelType w:val="hybridMultilevel"/>
    <w:tmpl w:val="5AA28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216706"/>
    <w:multiLevelType w:val="multilevel"/>
    <w:tmpl w:val="44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E7723"/>
    <w:multiLevelType w:val="multilevel"/>
    <w:tmpl w:val="7F6C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52B7F"/>
    <w:multiLevelType w:val="multilevel"/>
    <w:tmpl w:val="AC5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10165"/>
    <w:multiLevelType w:val="multilevel"/>
    <w:tmpl w:val="3B9A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C3DCE"/>
    <w:multiLevelType w:val="multilevel"/>
    <w:tmpl w:val="900C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65460"/>
    <w:multiLevelType w:val="multilevel"/>
    <w:tmpl w:val="58E0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A41EFE"/>
    <w:multiLevelType w:val="hybridMultilevel"/>
    <w:tmpl w:val="7D0826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FF47A42"/>
    <w:multiLevelType w:val="hybridMultilevel"/>
    <w:tmpl w:val="1AB625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22D4200"/>
    <w:multiLevelType w:val="multilevel"/>
    <w:tmpl w:val="59E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BD6382"/>
    <w:multiLevelType w:val="hybridMultilevel"/>
    <w:tmpl w:val="E9026E2A"/>
    <w:lvl w:ilvl="0" w:tplc="04150005">
      <w:start w:val="1"/>
      <w:numFmt w:val="bullet"/>
      <w:lvlText w:val=""/>
      <w:lvlJc w:val="left"/>
      <w:pPr>
        <w:ind w:left="720" w:hanging="360"/>
      </w:pPr>
      <w:rPr>
        <w:rFonts w:ascii="Wingdings" w:hAnsi="Wingding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DE0C84"/>
    <w:multiLevelType w:val="hybridMultilevel"/>
    <w:tmpl w:val="8FD44CC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86E10DA"/>
    <w:multiLevelType w:val="hybridMultilevel"/>
    <w:tmpl w:val="EFD431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8C7714"/>
    <w:multiLevelType w:val="multilevel"/>
    <w:tmpl w:val="FE7C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BD381F"/>
    <w:multiLevelType w:val="hybridMultilevel"/>
    <w:tmpl w:val="821CF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585B26"/>
    <w:multiLevelType w:val="multilevel"/>
    <w:tmpl w:val="2B00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D6769F"/>
    <w:multiLevelType w:val="hybridMultilevel"/>
    <w:tmpl w:val="03BC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3415ABB"/>
    <w:multiLevelType w:val="hybridMultilevel"/>
    <w:tmpl w:val="03AC4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72D4BBA"/>
    <w:multiLevelType w:val="multilevel"/>
    <w:tmpl w:val="ACF4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6404B2"/>
    <w:multiLevelType w:val="multilevel"/>
    <w:tmpl w:val="8B0A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C21D67"/>
    <w:multiLevelType w:val="hybridMultilevel"/>
    <w:tmpl w:val="5F885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9576425"/>
    <w:multiLevelType w:val="multilevel"/>
    <w:tmpl w:val="31B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026F2C"/>
    <w:multiLevelType w:val="hybridMultilevel"/>
    <w:tmpl w:val="71263B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E18401D"/>
    <w:multiLevelType w:val="multilevel"/>
    <w:tmpl w:val="BE44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52F0E"/>
    <w:multiLevelType w:val="hybridMultilevel"/>
    <w:tmpl w:val="8A0ED6FC"/>
    <w:lvl w:ilvl="0" w:tplc="0415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5CA02696"/>
    <w:multiLevelType w:val="hybridMultilevel"/>
    <w:tmpl w:val="C6A2CB2A"/>
    <w:lvl w:ilvl="0" w:tplc="0415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604625FF"/>
    <w:multiLevelType w:val="hybridMultilevel"/>
    <w:tmpl w:val="C3EA9D56"/>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63785019"/>
    <w:multiLevelType w:val="multilevel"/>
    <w:tmpl w:val="138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CC6AC5"/>
    <w:multiLevelType w:val="multilevel"/>
    <w:tmpl w:val="C83A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CC0E24"/>
    <w:multiLevelType w:val="multilevel"/>
    <w:tmpl w:val="37B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1283F"/>
    <w:multiLevelType w:val="multilevel"/>
    <w:tmpl w:val="8080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E2687"/>
    <w:multiLevelType w:val="multilevel"/>
    <w:tmpl w:val="8106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682871"/>
    <w:multiLevelType w:val="multilevel"/>
    <w:tmpl w:val="49C8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CC28B6"/>
    <w:multiLevelType w:val="hybridMultilevel"/>
    <w:tmpl w:val="A934D9E0"/>
    <w:lvl w:ilvl="0" w:tplc="041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C830785"/>
    <w:multiLevelType w:val="hybridMultilevel"/>
    <w:tmpl w:val="765C1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B1324E"/>
    <w:multiLevelType w:val="hybridMultilevel"/>
    <w:tmpl w:val="51C20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76513065">
    <w:abstractNumId w:val="4"/>
  </w:num>
  <w:num w:numId="2" w16cid:durableId="1676569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7002625">
    <w:abstractNumId w:val="33"/>
  </w:num>
  <w:num w:numId="4" w16cid:durableId="2830871">
    <w:abstractNumId w:val="37"/>
  </w:num>
  <w:num w:numId="5" w16cid:durableId="1830174878">
    <w:abstractNumId w:val="5"/>
  </w:num>
  <w:num w:numId="6" w16cid:durableId="872420060">
    <w:abstractNumId w:val="15"/>
  </w:num>
  <w:num w:numId="7" w16cid:durableId="1729497337">
    <w:abstractNumId w:val="30"/>
  </w:num>
  <w:num w:numId="8" w16cid:durableId="1073427183">
    <w:abstractNumId w:val="14"/>
  </w:num>
  <w:num w:numId="9" w16cid:durableId="2086756824">
    <w:abstractNumId w:val="3"/>
  </w:num>
  <w:num w:numId="10" w16cid:durableId="771583399">
    <w:abstractNumId w:val="12"/>
  </w:num>
  <w:num w:numId="11" w16cid:durableId="1455127975">
    <w:abstractNumId w:val="20"/>
  </w:num>
  <w:num w:numId="12" w16cid:durableId="1323240804">
    <w:abstractNumId w:val="6"/>
  </w:num>
  <w:num w:numId="13" w16cid:durableId="1110903150">
    <w:abstractNumId w:val="34"/>
  </w:num>
  <w:num w:numId="14" w16cid:durableId="1985890112">
    <w:abstractNumId w:val="28"/>
  </w:num>
  <w:num w:numId="15" w16cid:durableId="687173535">
    <w:abstractNumId w:val="32"/>
  </w:num>
  <w:num w:numId="16" w16cid:durableId="1111432257">
    <w:abstractNumId w:val="8"/>
  </w:num>
  <w:num w:numId="17" w16cid:durableId="462425933">
    <w:abstractNumId w:val="26"/>
  </w:num>
  <w:num w:numId="18" w16cid:durableId="815415061">
    <w:abstractNumId w:val="17"/>
  </w:num>
  <w:num w:numId="19" w16cid:durableId="1507743538">
    <w:abstractNumId w:val="25"/>
  </w:num>
  <w:num w:numId="20" w16cid:durableId="1457946264">
    <w:abstractNumId w:val="13"/>
  </w:num>
  <w:num w:numId="21" w16cid:durableId="2108385695">
    <w:abstractNumId w:val="16"/>
  </w:num>
  <w:num w:numId="22" w16cid:durableId="1556969004">
    <w:abstractNumId w:val="19"/>
  </w:num>
  <w:num w:numId="23" w16cid:durableId="241641747">
    <w:abstractNumId w:val="2"/>
  </w:num>
  <w:num w:numId="24" w16cid:durableId="830633105">
    <w:abstractNumId w:val="18"/>
  </w:num>
  <w:num w:numId="25" w16cid:durableId="1901789551">
    <w:abstractNumId w:val="35"/>
  </w:num>
  <w:num w:numId="26" w16cid:durableId="792480417">
    <w:abstractNumId w:val="39"/>
  </w:num>
  <w:num w:numId="27" w16cid:durableId="2125998523">
    <w:abstractNumId w:val="11"/>
  </w:num>
  <w:num w:numId="28" w16cid:durableId="2122987926">
    <w:abstractNumId w:val="21"/>
  </w:num>
  <w:num w:numId="29" w16cid:durableId="1228153538">
    <w:abstractNumId w:val="24"/>
  </w:num>
  <w:num w:numId="30" w16cid:durableId="1215702625">
    <w:abstractNumId w:val="10"/>
  </w:num>
  <w:num w:numId="31" w16cid:durableId="1417828520">
    <w:abstractNumId w:val="23"/>
  </w:num>
  <w:num w:numId="32" w16cid:durableId="486895460">
    <w:abstractNumId w:val="22"/>
  </w:num>
  <w:num w:numId="33" w16cid:durableId="860553286">
    <w:abstractNumId w:val="7"/>
  </w:num>
  <w:num w:numId="34" w16cid:durableId="960376729">
    <w:abstractNumId w:val="40"/>
  </w:num>
  <w:num w:numId="35" w16cid:durableId="986394472">
    <w:abstractNumId w:val="29"/>
  </w:num>
  <w:num w:numId="36" w16cid:durableId="111944696">
    <w:abstractNumId w:val="36"/>
  </w:num>
  <w:num w:numId="37" w16cid:durableId="2015106097">
    <w:abstractNumId w:val="38"/>
  </w:num>
  <w:num w:numId="38" w16cid:durableId="1356806744">
    <w:abstractNumId w:val="9"/>
  </w:num>
  <w:num w:numId="39" w16cid:durableId="1296136896">
    <w:abstractNumId w:val="0"/>
  </w:num>
  <w:num w:numId="40" w16cid:durableId="106119294">
    <w:abstractNumId w:val="31"/>
  </w:num>
  <w:num w:numId="41" w16cid:durableId="69279752">
    <w:abstractNumId w:val="27"/>
  </w:num>
  <w:num w:numId="42" w16cid:durableId="1214467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45"/>
    <w:rsid w:val="000000E2"/>
    <w:rsid w:val="000026C6"/>
    <w:rsid w:val="00003C1D"/>
    <w:rsid w:val="00003C62"/>
    <w:rsid w:val="00011938"/>
    <w:rsid w:val="000119FB"/>
    <w:rsid w:val="0001765A"/>
    <w:rsid w:val="0002000A"/>
    <w:rsid w:val="00020BED"/>
    <w:rsid w:val="000230B3"/>
    <w:rsid w:val="0002341D"/>
    <w:rsid w:val="00026258"/>
    <w:rsid w:val="00026267"/>
    <w:rsid w:val="000270DE"/>
    <w:rsid w:val="000279C9"/>
    <w:rsid w:val="00030CBE"/>
    <w:rsid w:val="000378A7"/>
    <w:rsid w:val="00040A75"/>
    <w:rsid w:val="000426F8"/>
    <w:rsid w:val="00043408"/>
    <w:rsid w:val="00045B7F"/>
    <w:rsid w:val="0005239B"/>
    <w:rsid w:val="00054B09"/>
    <w:rsid w:val="00055E7F"/>
    <w:rsid w:val="00060AAA"/>
    <w:rsid w:val="00062F1F"/>
    <w:rsid w:val="00070A65"/>
    <w:rsid w:val="0007320F"/>
    <w:rsid w:val="00074185"/>
    <w:rsid w:val="00075D79"/>
    <w:rsid w:val="00080F9A"/>
    <w:rsid w:val="00085624"/>
    <w:rsid w:val="0008695F"/>
    <w:rsid w:val="00087C5A"/>
    <w:rsid w:val="00091456"/>
    <w:rsid w:val="00096CA6"/>
    <w:rsid w:val="00097119"/>
    <w:rsid w:val="000A08FD"/>
    <w:rsid w:val="000A145A"/>
    <w:rsid w:val="000B2597"/>
    <w:rsid w:val="000B25F9"/>
    <w:rsid w:val="000B30BE"/>
    <w:rsid w:val="000B42C8"/>
    <w:rsid w:val="000B5BB8"/>
    <w:rsid w:val="000C1967"/>
    <w:rsid w:val="000C27B1"/>
    <w:rsid w:val="000C430A"/>
    <w:rsid w:val="000C60C8"/>
    <w:rsid w:val="000D295A"/>
    <w:rsid w:val="000D734F"/>
    <w:rsid w:val="000E35AD"/>
    <w:rsid w:val="000E3F2C"/>
    <w:rsid w:val="000E44B4"/>
    <w:rsid w:val="000E4856"/>
    <w:rsid w:val="000E4EC0"/>
    <w:rsid w:val="000E5778"/>
    <w:rsid w:val="000F0265"/>
    <w:rsid w:val="000F1E11"/>
    <w:rsid w:val="000F3205"/>
    <w:rsid w:val="00103CEB"/>
    <w:rsid w:val="00104425"/>
    <w:rsid w:val="001054ED"/>
    <w:rsid w:val="001056CC"/>
    <w:rsid w:val="0011042D"/>
    <w:rsid w:val="00111056"/>
    <w:rsid w:val="001150F9"/>
    <w:rsid w:val="00116B72"/>
    <w:rsid w:val="00122775"/>
    <w:rsid w:val="001230CD"/>
    <w:rsid w:val="00124778"/>
    <w:rsid w:val="001253A1"/>
    <w:rsid w:val="00126D7E"/>
    <w:rsid w:val="00127BEE"/>
    <w:rsid w:val="00131CD0"/>
    <w:rsid w:val="00131D75"/>
    <w:rsid w:val="00133576"/>
    <w:rsid w:val="00135BFF"/>
    <w:rsid w:val="001416AC"/>
    <w:rsid w:val="00141CAA"/>
    <w:rsid w:val="0014353F"/>
    <w:rsid w:val="00144EE1"/>
    <w:rsid w:val="0014511E"/>
    <w:rsid w:val="001452BD"/>
    <w:rsid w:val="00145459"/>
    <w:rsid w:val="00152DE2"/>
    <w:rsid w:val="0015561F"/>
    <w:rsid w:val="00155F5D"/>
    <w:rsid w:val="00157180"/>
    <w:rsid w:val="00164D38"/>
    <w:rsid w:val="001652B8"/>
    <w:rsid w:val="00165647"/>
    <w:rsid w:val="001657AB"/>
    <w:rsid w:val="0016778E"/>
    <w:rsid w:val="00173204"/>
    <w:rsid w:val="00173D00"/>
    <w:rsid w:val="001810B5"/>
    <w:rsid w:val="0018129A"/>
    <w:rsid w:val="00182F71"/>
    <w:rsid w:val="00183436"/>
    <w:rsid w:val="00184F8B"/>
    <w:rsid w:val="00192A39"/>
    <w:rsid w:val="0019410B"/>
    <w:rsid w:val="00196147"/>
    <w:rsid w:val="001A06B9"/>
    <w:rsid w:val="001A4918"/>
    <w:rsid w:val="001A4E42"/>
    <w:rsid w:val="001A5150"/>
    <w:rsid w:val="001A6855"/>
    <w:rsid w:val="001A7D3A"/>
    <w:rsid w:val="001B0556"/>
    <w:rsid w:val="001B1BD1"/>
    <w:rsid w:val="001B37C5"/>
    <w:rsid w:val="001C02E9"/>
    <w:rsid w:val="001C2893"/>
    <w:rsid w:val="001C58A6"/>
    <w:rsid w:val="001D18E0"/>
    <w:rsid w:val="001D26CA"/>
    <w:rsid w:val="001D432B"/>
    <w:rsid w:val="001D46CD"/>
    <w:rsid w:val="001D49A2"/>
    <w:rsid w:val="001D58F4"/>
    <w:rsid w:val="001D6DB8"/>
    <w:rsid w:val="001D6F0C"/>
    <w:rsid w:val="001E2415"/>
    <w:rsid w:val="001F1650"/>
    <w:rsid w:val="001F250F"/>
    <w:rsid w:val="001F2866"/>
    <w:rsid w:val="001F41AE"/>
    <w:rsid w:val="001F505B"/>
    <w:rsid w:val="001F57AC"/>
    <w:rsid w:val="001F66C9"/>
    <w:rsid w:val="001F7E64"/>
    <w:rsid w:val="0020244F"/>
    <w:rsid w:val="002056E9"/>
    <w:rsid w:val="00210202"/>
    <w:rsid w:val="002113D3"/>
    <w:rsid w:val="00212802"/>
    <w:rsid w:val="002139F5"/>
    <w:rsid w:val="00214B24"/>
    <w:rsid w:val="002169BD"/>
    <w:rsid w:val="00221364"/>
    <w:rsid w:val="0022388D"/>
    <w:rsid w:val="0022460D"/>
    <w:rsid w:val="00225C07"/>
    <w:rsid w:val="002267A3"/>
    <w:rsid w:val="00232A86"/>
    <w:rsid w:val="00234973"/>
    <w:rsid w:val="00240195"/>
    <w:rsid w:val="00240836"/>
    <w:rsid w:val="00244973"/>
    <w:rsid w:val="00246C6F"/>
    <w:rsid w:val="0025147D"/>
    <w:rsid w:val="00251977"/>
    <w:rsid w:val="00254A49"/>
    <w:rsid w:val="002555B6"/>
    <w:rsid w:val="00257990"/>
    <w:rsid w:val="0026034E"/>
    <w:rsid w:val="0026188F"/>
    <w:rsid w:val="0026564B"/>
    <w:rsid w:val="002663A2"/>
    <w:rsid w:val="0026795E"/>
    <w:rsid w:val="002733C7"/>
    <w:rsid w:val="0027542A"/>
    <w:rsid w:val="00275926"/>
    <w:rsid w:val="00277A38"/>
    <w:rsid w:val="002850D6"/>
    <w:rsid w:val="00292949"/>
    <w:rsid w:val="00292C1B"/>
    <w:rsid w:val="002951E3"/>
    <w:rsid w:val="00295E2E"/>
    <w:rsid w:val="002960C5"/>
    <w:rsid w:val="00296E6F"/>
    <w:rsid w:val="00297079"/>
    <w:rsid w:val="002A12B0"/>
    <w:rsid w:val="002A13CB"/>
    <w:rsid w:val="002A359B"/>
    <w:rsid w:val="002A4F17"/>
    <w:rsid w:val="002B6EFC"/>
    <w:rsid w:val="002C03C2"/>
    <w:rsid w:val="002C2302"/>
    <w:rsid w:val="002C5C7C"/>
    <w:rsid w:val="002C7453"/>
    <w:rsid w:val="002D134A"/>
    <w:rsid w:val="002D1D18"/>
    <w:rsid w:val="002D5E88"/>
    <w:rsid w:val="002D6D99"/>
    <w:rsid w:val="002D6FAD"/>
    <w:rsid w:val="002D7150"/>
    <w:rsid w:val="002E0CDC"/>
    <w:rsid w:val="002E3500"/>
    <w:rsid w:val="002E460E"/>
    <w:rsid w:val="002E4842"/>
    <w:rsid w:val="002E5331"/>
    <w:rsid w:val="002E662F"/>
    <w:rsid w:val="002E6759"/>
    <w:rsid w:val="002F1271"/>
    <w:rsid w:val="002F15BD"/>
    <w:rsid w:val="002F3C40"/>
    <w:rsid w:val="002F5B77"/>
    <w:rsid w:val="002F5D61"/>
    <w:rsid w:val="0030270E"/>
    <w:rsid w:val="00302FCE"/>
    <w:rsid w:val="00305E62"/>
    <w:rsid w:val="003120D4"/>
    <w:rsid w:val="00312863"/>
    <w:rsid w:val="003131B6"/>
    <w:rsid w:val="003133C9"/>
    <w:rsid w:val="00314258"/>
    <w:rsid w:val="00315F53"/>
    <w:rsid w:val="0031628C"/>
    <w:rsid w:val="003203EA"/>
    <w:rsid w:val="003214C3"/>
    <w:rsid w:val="00323759"/>
    <w:rsid w:val="00323ED1"/>
    <w:rsid w:val="00324735"/>
    <w:rsid w:val="0032528B"/>
    <w:rsid w:val="003266DF"/>
    <w:rsid w:val="00331675"/>
    <w:rsid w:val="00331B7F"/>
    <w:rsid w:val="00333A1E"/>
    <w:rsid w:val="00333E20"/>
    <w:rsid w:val="00340C8B"/>
    <w:rsid w:val="00341CEF"/>
    <w:rsid w:val="00344DAC"/>
    <w:rsid w:val="00346494"/>
    <w:rsid w:val="00351CD6"/>
    <w:rsid w:val="0035563D"/>
    <w:rsid w:val="00361E8C"/>
    <w:rsid w:val="0037098F"/>
    <w:rsid w:val="003724FA"/>
    <w:rsid w:val="00373609"/>
    <w:rsid w:val="00375A9C"/>
    <w:rsid w:val="00381B26"/>
    <w:rsid w:val="00382534"/>
    <w:rsid w:val="00382C8A"/>
    <w:rsid w:val="0038344C"/>
    <w:rsid w:val="00385164"/>
    <w:rsid w:val="003866DC"/>
    <w:rsid w:val="0038788E"/>
    <w:rsid w:val="0039113E"/>
    <w:rsid w:val="00391B3D"/>
    <w:rsid w:val="003921F7"/>
    <w:rsid w:val="00394118"/>
    <w:rsid w:val="003949C9"/>
    <w:rsid w:val="003A40AA"/>
    <w:rsid w:val="003B3761"/>
    <w:rsid w:val="003B3915"/>
    <w:rsid w:val="003B4004"/>
    <w:rsid w:val="003C1300"/>
    <w:rsid w:val="003C1EEB"/>
    <w:rsid w:val="003C3AAE"/>
    <w:rsid w:val="003D088D"/>
    <w:rsid w:val="003D27B8"/>
    <w:rsid w:val="003D38C0"/>
    <w:rsid w:val="003D5772"/>
    <w:rsid w:val="003D5883"/>
    <w:rsid w:val="003D6437"/>
    <w:rsid w:val="003D712E"/>
    <w:rsid w:val="003D7E75"/>
    <w:rsid w:val="003D7EBE"/>
    <w:rsid w:val="003E27D4"/>
    <w:rsid w:val="003E6DA1"/>
    <w:rsid w:val="003E6FCE"/>
    <w:rsid w:val="003F119A"/>
    <w:rsid w:val="003F19FE"/>
    <w:rsid w:val="003F330C"/>
    <w:rsid w:val="003F578D"/>
    <w:rsid w:val="003F76C1"/>
    <w:rsid w:val="004010E2"/>
    <w:rsid w:val="004011FD"/>
    <w:rsid w:val="0040246D"/>
    <w:rsid w:val="00406D43"/>
    <w:rsid w:val="0040767D"/>
    <w:rsid w:val="0041741F"/>
    <w:rsid w:val="0042252B"/>
    <w:rsid w:val="004227C0"/>
    <w:rsid w:val="00424AF5"/>
    <w:rsid w:val="00425870"/>
    <w:rsid w:val="004264AB"/>
    <w:rsid w:val="00430485"/>
    <w:rsid w:val="004354F3"/>
    <w:rsid w:val="00436812"/>
    <w:rsid w:val="0044253F"/>
    <w:rsid w:val="00442B70"/>
    <w:rsid w:val="004503EC"/>
    <w:rsid w:val="004507D3"/>
    <w:rsid w:val="00450DF3"/>
    <w:rsid w:val="00451821"/>
    <w:rsid w:val="00451868"/>
    <w:rsid w:val="00454F26"/>
    <w:rsid w:val="00461B13"/>
    <w:rsid w:val="0046442C"/>
    <w:rsid w:val="00466719"/>
    <w:rsid w:val="004729B0"/>
    <w:rsid w:val="004744E0"/>
    <w:rsid w:val="00475945"/>
    <w:rsid w:val="00475D70"/>
    <w:rsid w:val="00481D5E"/>
    <w:rsid w:val="0048231F"/>
    <w:rsid w:val="004839F4"/>
    <w:rsid w:val="004846DD"/>
    <w:rsid w:val="00484F1D"/>
    <w:rsid w:val="00485DF4"/>
    <w:rsid w:val="00486FEE"/>
    <w:rsid w:val="0049322D"/>
    <w:rsid w:val="00496EDF"/>
    <w:rsid w:val="004A7C2A"/>
    <w:rsid w:val="004B1503"/>
    <w:rsid w:val="004B438B"/>
    <w:rsid w:val="004B4417"/>
    <w:rsid w:val="004C0587"/>
    <w:rsid w:val="004C4E54"/>
    <w:rsid w:val="004C51EE"/>
    <w:rsid w:val="004C744E"/>
    <w:rsid w:val="004C776E"/>
    <w:rsid w:val="004D0ADF"/>
    <w:rsid w:val="004D1ABE"/>
    <w:rsid w:val="004D3222"/>
    <w:rsid w:val="004D3680"/>
    <w:rsid w:val="004D410F"/>
    <w:rsid w:val="004E0580"/>
    <w:rsid w:val="004E22B6"/>
    <w:rsid w:val="004E3ADB"/>
    <w:rsid w:val="004E419D"/>
    <w:rsid w:val="004E55E8"/>
    <w:rsid w:val="004E5A8F"/>
    <w:rsid w:val="004F0962"/>
    <w:rsid w:val="004F420F"/>
    <w:rsid w:val="004F4588"/>
    <w:rsid w:val="004F6CF3"/>
    <w:rsid w:val="004F7B4A"/>
    <w:rsid w:val="00504EBD"/>
    <w:rsid w:val="00507647"/>
    <w:rsid w:val="00510ACB"/>
    <w:rsid w:val="00515B42"/>
    <w:rsid w:val="00515D0B"/>
    <w:rsid w:val="0051752A"/>
    <w:rsid w:val="00520C4B"/>
    <w:rsid w:val="00521C30"/>
    <w:rsid w:val="00522292"/>
    <w:rsid w:val="00525BA2"/>
    <w:rsid w:val="00530663"/>
    <w:rsid w:val="005358EE"/>
    <w:rsid w:val="005360E6"/>
    <w:rsid w:val="005400DC"/>
    <w:rsid w:val="0054107B"/>
    <w:rsid w:val="0054694C"/>
    <w:rsid w:val="005470A0"/>
    <w:rsid w:val="005476F7"/>
    <w:rsid w:val="00547D16"/>
    <w:rsid w:val="0055022C"/>
    <w:rsid w:val="005549D9"/>
    <w:rsid w:val="0055647B"/>
    <w:rsid w:val="00556701"/>
    <w:rsid w:val="00556E29"/>
    <w:rsid w:val="00557BA7"/>
    <w:rsid w:val="00560F08"/>
    <w:rsid w:val="00562477"/>
    <w:rsid w:val="00562F1D"/>
    <w:rsid w:val="00566D6D"/>
    <w:rsid w:val="00572D23"/>
    <w:rsid w:val="00573F94"/>
    <w:rsid w:val="00580DCE"/>
    <w:rsid w:val="00582063"/>
    <w:rsid w:val="00586FB1"/>
    <w:rsid w:val="005A1B28"/>
    <w:rsid w:val="005A28F6"/>
    <w:rsid w:val="005A2A63"/>
    <w:rsid w:val="005A7684"/>
    <w:rsid w:val="005B1906"/>
    <w:rsid w:val="005B3A4A"/>
    <w:rsid w:val="005B647C"/>
    <w:rsid w:val="005B749B"/>
    <w:rsid w:val="005B7DCB"/>
    <w:rsid w:val="005C00AE"/>
    <w:rsid w:val="005C0744"/>
    <w:rsid w:val="005C1291"/>
    <w:rsid w:val="005C5088"/>
    <w:rsid w:val="005C52F9"/>
    <w:rsid w:val="005C6761"/>
    <w:rsid w:val="005D1494"/>
    <w:rsid w:val="005D1DED"/>
    <w:rsid w:val="005D242C"/>
    <w:rsid w:val="005D3DBC"/>
    <w:rsid w:val="005D552A"/>
    <w:rsid w:val="005D79D1"/>
    <w:rsid w:val="005E4120"/>
    <w:rsid w:val="005E4DB0"/>
    <w:rsid w:val="005E6D4A"/>
    <w:rsid w:val="005E6FF1"/>
    <w:rsid w:val="005F075A"/>
    <w:rsid w:val="005F1B59"/>
    <w:rsid w:val="005F2E6D"/>
    <w:rsid w:val="005F3FD4"/>
    <w:rsid w:val="005F7BAE"/>
    <w:rsid w:val="00603584"/>
    <w:rsid w:val="00605462"/>
    <w:rsid w:val="006075BA"/>
    <w:rsid w:val="0061396D"/>
    <w:rsid w:val="00614730"/>
    <w:rsid w:val="0061555F"/>
    <w:rsid w:val="00623464"/>
    <w:rsid w:val="00625AD9"/>
    <w:rsid w:val="0063277D"/>
    <w:rsid w:val="006329F8"/>
    <w:rsid w:val="00635A19"/>
    <w:rsid w:val="00635BE4"/>
    <w:rsid w:val="00640C86"/>
    <w:rsid w:val="006411CD"/>
    <w:rsid w:val="0064144B"/>
    <w:rsid w:val="00645008"/>
    <w:rsid w:val="00646047"/>
    <w:rsid w:val="00646957"/>
    <w:rsid w:val="00646C6B"/>
    <w:rsid w:val="00647128"/>
    <w:rsid w:val="006504CB"/>
    <w:rsid w:val="0065193A"/>
    <w:rsid w:val="00651AA9"/>
    <w:rsid w:val="0065259C"/>
    <w:rsid w:val="006529EF"/>
    <w:rsid w:val="00652D15"/>
    <w:rsid w:val="00653377"/>
    <w:rsid w:val="0065534D"/>
    <w:rsid w:val="0065662B"/>
    <w:rsid w:val="00657786"/>
    <w:rsid w:val="006607CA"/>
    <w:rsid w:val="00660B1F"/>
    <w:rsid w:val="00663DCC"/>
    <w:rsid w:val="00664F20"/>
    <w:rsid w:val="0066576A"/>
    <w:rsid w:val="0066677E"/>
    <w:rsid w:val="00673CAB"/>
    <w:rsid w:val="00673F17"/>
    <w:rsid w:val="00674C1C"/>
    <w:rsid w:val="00676325"/>
    <w:rsid w:val="00680A06"/>
    <w:rsid w:val="0068122B"/>
    <w:rsid w:val="006827B9"/>
    <w:rsid w:val="00683456"/>
    <w:rsid w:val="00683AC5"/>
    <w:rsid w:val="00684AB2"/>
    <w:rsid w:val="00684E74"/>
    <w:rsid w:val="00690163"/>
    <w:rsid w:val="00691F83"/>
    <w:rsid w:val="00692578"/>
    <w:rsid w:val="00693171"/>
    <w:rsid w:val="0069433B"/>
    <w:rsid w:val="00695D8D"/>
    <w:rsid w:val="006A60E5"/>
    <w:rsid w:val="006A7540"/>
    <w:rsid w:val="006B0A1B"/>
    <w:rsid w:val="006B1A20"/>
    <w:rsid w:val="006B2D5D"/>
    <w:rsid w:val="006B3997"/>
    <w:rsid w:val="006B573C"/>
    <w:rsid w:val="006B5C05"/>
    <w:rsid w:val="006C2AF0"/>
    <w:rsid w:val="006C3E97"/>
    <w:rsid w:val="006C4C6E"/>
    <w:rsid w:val="006C632C"/>
    <w:rsid w:val="006D5D71"/>
    <w:rsid w:val="006E24D2"/>
    <w:rsid w:val="006E5616"/>
    <w:rsid w:val="006E5EF6"/>
    <w:rsid w:val="006F522D"/>
    <w:rsid w:val="006F52A2"/>
    <w:rsid w:val="006F5411"/>
    <w:rsid w:val="006F7161"/>
    <w:rsid w:val="00704512"/>
    <w:rsid w:val="007047DF"/>
    <w:rsid w:val="007164E4"/>
    <w:rsid w:val="00716743"/>
    <w:rsid w:val="0071752C"/>
    <w:rsid w:val="00720711"/>
    <w:rsid w:val="00721283"/>
    <w:rsid w:val="00721B74"/>
    <w:rsid w:val="00724480"/>
    <w:rsid w:val="00724B90"/>
    <w:rsid w:val="007318B9"/>
    <w:rsid w:val="00732FC1"/>
    <w:rsid w:val="00741314"/>
    <w:rsid w:val="007416A3"/>
    <w:rsid w:val="00742031"/>
    <w:rsid w:val="00743B2D"/>
    <w:rsid w:val="00744DA3"/>
    <w:rsid w:val="00745031"/>
    <w:rsid w:val="007466DD"/>
    <w:rsid w:val="00746A59"/>
    <w:rsid w:val="007504A0"/>
    <w:rsid w:val="00753273"/>
    <w:rsid w:val="0075581C"/>
    <w:rsid w:val="007577C9"/>
    <w:rsid w:val="00760162"/>
    <w:rsid w:val="00761E68"/>
    <w:rsid w:val="0076210A"/>
    <w:rsid w:val="007622B3"/>
    <w:rsid w:val="00764481"/>
    <w:rsid w:val="00766A50"/>
    <w:rsid w:val="007709F9"/>
    <w:rsid w:val="00771C57"/>
    <w:rsid w:val="00772083"/>
    <w:rsid w:val="007727CD"/>
    <w:rsid w:val="007740CE"/>
    <w:rsid w:val="0077418B"/>
    <w:rsid w:val="00774D07"/>
    <w:rsid w:val="00774F1A"/>
    <w:rsid w:val="00776CCD"/>
    <w:rsid w:val="00777099"/>
    <w:rsid w:val="00783C8F"/>
    <w:rsid w:val="00783EE0"/>
    <w:rsid w:val="00784AE6"/>
    <w:rsid w:val="00784F4B"/>
    <w:rsid w:val="00790BFC"/>
    <w:rsid w:val="00792427"/>
    <w:rsid w:val="00793345"/>
    <w:rsid w:val="007951CC"/>
    <w:rsid w:val="00795547"/>
    <w:rsid w:val="007A1FBB"/>
    <w:rsid w:val="007A3B2C"/>
    <w:rsid w:val="007A6DED"/>
    <w:rsid w:val="007B3F10"/>
    <w:rsid w:val="007B657D"/>
    <w:rsid w:val="007B66E7"/>
    <w:rsid w:val="007C239D"/>
    <w:rsid w:val="007C5EAB"/>
    <w:rsid w:val="007C699F"/>
    <w:rsid w:val="007C6B07"/>
    <w:rsid w:val="007C6EBB"/>
    <w:rsid w:val="007D4AF0"/>
    <w:rsid w:val="007E07D2"/>
    <w:rsid w:val="007E1A60"/>
    <w:rsid w:val="007E4575"/>
    <w:rsid w:val="007F0AD9"/>
    <w:rsid w:val="007F31C2"/>
    <w:rsid w:val="008031A6"/>
    <w:rsid w:val="008035D8"/>
    <w:rsid w:val="008077F1"/>
    <w:rsid w:val="0081108F"/>
    <w:rsid w:val="008116DD"/>
    <w:rsid w:val="00812D9C"/>
    <w:rsid w:val="00815865"/>
    <w:rsid w:val="008168EE"/>
    <w:rsid w:val="00820C25"/>
    <w:rsid w:val="00821E0F"/>
    <w:rsid w:val="00821E6F"/>
    <w:rsid w:val="00821FA8"/>
    <w:rsid w:val="0082539A"/>
    <w:rsid w:val="0082600F"/>
    <w:rsid w:val="008301AE"/>
    <w:rsid w:val="00831C99"/>
    <w:rsid w:val="00832EBF"/>
    <w:rsid w:val="0084396B"/>
    <w:rsid w:val="00852158"/>
    <w:rsid w:val="00855B62"/>
    <w:rsid w:val="00856EC7"/>
    <w:rsid w:val="00861D0E"/>
    <w:rsid w:val="00862633"/>
    <w:rsid w:val="008648A3"/>
    <w:rsid w:val="00864E24"/>
    <w:rsid w:val="00865856"/>
    <w:rsid w:val="00872E13"/>
    <w:rsid w:val="00886BB3"/>
    <w:rsid w:val="00890AE9"/>
    <w:rsid w:val="00891E89"/>
    <w:rsid w:val="008A0225"/>
    <w:rsid w:val="008A14BB"/>
    <w:rsid w:val="008A1BF1"/>
    <w:rsid w:val="008A3B4B"/>
    <w:rsid w:val="008A5AE1"/>
    <w:rsid w:val="008B319C"/>
    <w:rsid w:val="008B5212"/>
    <w:rsid w:val="008B7036"/>
    <w:rsid w:val="008C2C66"/>
    <w:rsid w:val="008C542A"/>
    <w:rsid w:val="008C6733"/>
    <w:rsid w:val="008C7422"/>
    <w:rsid w:val="008C7DF1"/>
    <w:rsid w:val="008D16A1"/>
    <w:rsid w:val="008D16E2"/>
    <w:rsid w:val="008D1DB5"/>
    <w:rsid w:val="008D3759"/>
    <w:rsid w:val="008D5762"/>
    <w:rsid w:val="008D6328"/>
    <w:rsid w:val="008D6873"/>
    <w:rsid w:val="008D6FBD"/>
    <w:rsid w:val="008E00A1"/>
    <w:rsid w:val="008E131E"/>
    <w:rsid w:val="008E2A61"/>
    <w:rsid w:val="008F0B37"/>
    <w:rsid w:val="008F10D1"/>
    <w:rsid w:val="008F1EC6"/>
    <w:rsid w:val="008F2132"/>
    <w:rsid w:val="008F52B3"/>
    <w:rsid w:val="008F719B"/>
    <w:rsid w:val="008F7436"/>
    <w:rsid w:val="008F79B7"/>
    <w:rsid w:val="00901F8C"/>
    <w:rsid w:val="00902941"/>
    <w:rsid w:val="00903E35"/>
    <w:rsid w:val="00907545"/>
    <w:rsid w:val="0091031B"/>
    <w:rsid w:val="00911849"/>
    <w:rsid w:val="00915107"/>
    <w:rsid w:val="00916687"/>
    <w:rsid w:val="00916EB2"/>
    <w:rsid w:val="00921DC0"/>
    <w:rsid w:val="0092672B"/>
    <w:rsid w:val="00930C94"/>
    <w:rsid w:val="009375B9"/>
    <w:rsid w:val="009456F5"/>
    <w:rsid w:val="00946B4B"/>
    <w:rsid w:val="00950201"/>
    <w:rsid w:val="00953BBF"/>
    <w:rsid w:val="00955C69"/>
    <w:rsid w:val="00955EA8"/>
    <w:rsid w:val="00956786"/>
    <w:rsid w:val="00957E14"/>
    <w:rsid w:val="00960903"/>
    <w:rsid w:val="00960D76"/>
    <w:rsid w:val="00962A4D"/>
    <w:rsid w:val="00966734"/>
    <w:rsid w:val="0097187E"/>
    <w:rsid w:val="009801BA"/>
    <w:rsid w:val="0098212D"/>
    <w:rsid w:val="0098763F"/>
    <w:rsid w:val="00990B70"/>
    <w:rsid w:val="0099247A"/>
    <w:rsid w:val="009952CE"/>
    <w:rsid w:val="00996039"/>
    <w:rsid w:val="009A00D3"/>
    <w:rsid w:val="009A07C7"/>
    <w:rsid w:val="009A1C4A"/>
    <w:rsid w:val="009A26EC"/>
    <w:rsid w:val="009A521F"/>
    <w:rsid w:val="009A5C33"/>
    <w:rsid w:val="009B1199"/>
    <w:rsid w:val="009B11A5"/>
    <w:rsid w:val="009B4E00"/>
    <w:rsid w:val="009B5647"/>
    <w:rsid w:val="009C1CDF"/>
    <w:rsid w:val="009C3762"/>
    <w:rsid w:val="009C3D52"/>
    <w:rsid w:val="009C78BF"/>
    <w:rsid w:val="009D1180"/>
    <w:rsid w:val="009D1AA5"/>
    <w:rsid w:val="009D1E81"/>
    <w:rsid w:val="009D25C4"/>
    <w:rsid w:val="009D3C3E"/>
    <w:rsid w:val="009D58D4"/>
    <w:rsid w:val="009E470B"/>
    <w:rsid w:val="009E6937"/>
    <w:rsid w:val="009E7BBF"/>
    <w:rsid w:val="009F077B"/>
    <w:rsid w:val="009F1573"/>
    <w:rsid w:val="009F4F44"/>
    <w:rsid w:val="009F63C5"/>
    <w:rsid w:val="00A0130E"/>
    <w:rsid w:val="00A03F96"/>
    <w:rsid w:val="00A06652"/>
    <w:rsid w:val="00A07089"/>
    <w:rsid w:val="00A10ACD"/>
    <w:rsid w:val="00A16F8A"/>
    <w:rsid w:val="00A17AA1"/>
    <w:rsid w:val="00A21BA5"/>
    <w:rsid w:val="00A2317F"/>
    <w:rsid w:val="00A24FC2"/>
    <w:rsid w:val="00A30B31"/>
    <w:rsid w:val="00A34754"/>
    <w:rsid w:val="00A40891"/>
    <w:rsid w:val="00A40A3F"/>
    <w:rsid w:val="00A419BD"/>
    <w:rsid w:val="00A43EBA"/>
    <w:rsid w:val="00A50C31"/>
    <w:rsid w:val="00A54888"/>
    <w:rsid w:val="00A56F7E"/>
    <w:rsid w:val="00A627D8"/>
    <w:rsid w:val="00A637C7"/>
    <w:rsid w:val="00A66E77"/>
    <w:rsid w:val="00A67106"/>
    <w:rsid w:val="00A707C3"/>
    <w:rsid w:val="00A71322"/>
    <w:rsid w:val="00A71395"/>
    <w:rsid w:val="00A71487"/>
    <w:rsid w:val="00A742EE"/>
    <w:rsid w:val="00A8082C"/>
    <w:rsid w:val="00A8100E"/>
    <w:rsid w:val="00A84439"/>
    <w:rsid w:val="00A90151"/>
    <w:rsid w:val="00A911FE"/>
    <w:rsid w:val="00A9299F"/>
    <w:rsid w:val="00A95AE3"/>
    <w:rsid w:val="00A95BD9"/>
    <w:rsid w:val="00AA19DE"/>
    <w:rsid w:val="00AA1CB5"/>
    <w:rsid w:val="00AA459E"/>
    <w:rsid w:val="00AA4A3B"/>
    <w:rsid w:val="00AA5602"/>
    <w:rsid w:val="00AB0DA1"/>
    <w:rsid w:val="00AB2926"/>
    <w:rsid w:val="00AB58A6"/>
    <w:rsid w:val="00AB7114"/>
    <w:rsid w:val="00AC0985"/>
    <w:rsid w:val="00AC0DB7"/>
    <w:rsid w:val="00AC2C1C"/>
    <w:rsid w:val="00AC3FF8"/>
    <w:rsid w:val="00AD09E9"/>
    <w:rsid w:val="00AE0AE8"/>
    <w:rsid w:val="00AE10E4"/>
    <w:rsid w:val="00AE26BA"/>
    <w:rsid w:val="00AE296E"/>
    <w:rsid w:val="00AE3AE6"/>
    <w:rsid w:val="00AF1D33"/>
    <w:rsid w:val="00AF20E6"/>
    <w:rsid w:val="00AF357D"/>
    <w:rsid w:val="00AF40FC"/>
    <w:rsid w:val="00AF6A59"/>
    <w:rsid w:val="00B013B8"/>
    <w:rsid w:val="00B06C61"/>
    <w:rsid w:val="00B07C82"/>
    <w:rsid w:val="00B10F27"/>
    <w:rsid w:val="00B13F10"/>
    <w:rsid w:val="00B13F49"/>
    <w:rsid w:val="00B24866"/>
    <w:rsid w:val="00B27FCD"/>
    <w:rsid w:val="00B30718"/>
    <w:rsid w:val="00B3219B"/>
    <w:rsid w:val="00B340AE"/>
    <w:rsid w:val="00B36E4A"/>
    <w:rsid w:val="00B36EBE"/>
    <w:rsid w:val="00B4348A"/>
    <w:rsid w:val="00B45314"/>
    <w:rsid w:val="00B51A2B"/>
    <w:rsid w:val="00B5271A"/>
    <w:rsid w:val="00B54042"/>
    <w:rsid w:val="00B540BE"/>
    <w:rsid w:val="00B552A5"/>
    <w:rsid w:val="00B55308"/>
    <w:rsid w:val="00B55721"/>
    <w:rsid w:val="00B60380"/>
    <w:rsid w:val="00B610FB"/>
    <w:rsid w:val="00B65C8A"/>
    <w:rsid w:val="00B67B73"/>
    <w:rsid w:val="00B701CB"/>
    <w:rsid w:val="00B709C8"/>
    <w:rsid w:val="00B740C3"/>
    <w:rsid w:val="00B7633F"/>
    <w:rsid w:val="00B81A10"/>
    <w:rsid w:val="00B81E5C"/>
    <w:rsid w:val="00B8653E"/>
    <w:rsid w:val="00B91EC4"/>
    <w:rsid w:val="00B94985"/>
    <w:rsid w:val="00B967B4"/>
    <w:rsid w:val="00BA64DF"/>
    <w:rsid w:val="00BA659D"/>
    <w:rsid w:val="00BB00F0"/>
    <w:rsid w:val="00BB036F"/>
    <w:rsid w:val="00BB1196"/>
    <w:rsid w:val="00BB1D17"/>
    <w:rsid w:val="00BB330A"/>
    <w:rsid w:val="00BB5B97"/>
    <w:rsid w:val="00BB7AF4"/>
    <w:rsid w:val="00BC1C89"/>
    <w:rsid w:val="00BC5168"/>
    <w:rsid w:val="00BD5F30"/>
    <w:rsid w:val="00BD5FF1"/>
    <w:rsid w:val="00BE1A8A"/>
    <w:rsid w:val="00BE2DDF"/>
    <w:rsid w:val="00BE5863"/>
    <w:rsid w:val="00BE794F"/>
    <w:rsid w:val="00BF5B16"/>
    <w:rsid w:val="00BF6157"/>
    <w:rsid w:val="00C0069B"/>
    <w:rsid w:val="00C022A4"/>
    <w:rsid w:val="00C02CD2"/>
    <w:rsid w:val="00C04712"/>
    <w:rsid w:val="00C0543C"/>
    <w:rsid w:val="00C10C12"/>
    <w:rsid w:val="00C14F91"/>
    <w:rsid w:val="00C166CE"/>
    <w:rsid w:val="00C17FD0"/>
    <w:rsid w:val="00C2040F"/>
    <w:rsid w:val="00C210E9"/>
    <w:rsid w:val="00C22079"/>
    <w:rsid w:val="00C24415"/>
    <w:rsid w:val="00C26061"/>
    <w:rsid w:val="00C275F6"/>
    <w:rsid w:val="00C3055E"/>
    <w:rsid w:val="00C32EE2"/>
    <w:rsid w:val="00C35E0E"/>
    <w:rsid w:val="00C44E51"/>
    <w:rsid w:val="00C47213"/>
    <w:rsid w:val="00C531A1"/>
    <w:rsid w:val="00C5378B"/>
    <w:rsid w:val="00C54BD5"/>
    <w:rsid w:val="00C55791"/>
    <w:rsid w:val="00C56178"/>
    <w:rsid w:val="00C5795D"/>
    <w:rsid w:val="00C615AD"/>
    <w:rsid w:val="00C62411"/>
    <w:rsid w:val="00C62C56"/>
    <w:rsid w:val="00C62D20"/>
    <w:rsid w:val="00C64445"/>
    <w:rsid w:val="00C6627E"/>
    <w:rsid w:val="00C6777F"/>
    <w:rsid w:val="00C74B73"/>
    <w:rsid w:val="00C75834"/>
    <w:rsid w:val="00C81248"/>
    <w:rsid w:val="00C81AC5"/>
    <w:rsid w:val="00C8275A"/>
    <w:rsid w:val="00C8407A"/>
    <w:rsid w:val="00C85AE8"/>
    <w:rsid w:val="00C903F8"/>
    <w:rsid w:val="00C94416"/>
    <w:rsid w:val="00CA30A6"/>
    <w:rsid w:val="00CB23AD"/>
    <w:rsid w:val="00CB36B5"/>
    <w:rsid w:val="00CB7970"/>
    <w:rsid w:val="00CC0AF8"/>
    <w:rsid w:val="00CC1A8D"/>
    <w:rsid w:val="00CC456A"/>
    <w:rsid w:val="00CD267F"/>
    <w:rsid w:val="00CD4414"/>
    <w:rsid w:val="00CD57AD"/>
    <w:rsid w:val="00CD5B77"/>
    <w:rsid w:val="00CD71F5"/>
    <w:rsid w:val="00CD778D"/>
    <w:rsid w:val="00CE31D7"/>
    <w:rsid w:val="00CE3200"/>
    <w:rsid w:val="00CE5195"/>
    <w:rsid w:val="00CE5251"/>
    <w:rsid w:val="00CE5416"/>
    <w:rsid w:val="00CF2264"/>
    <w:rsid w:val="00CF516A"/>
    <w:rsid w:val="00CF7028"/>
    <w:rsid w:val="00D026C6"/>
    <w:rsid w:val="00D04DB8"/>
    <w:rsid w:val="00D07004"/>
    <w:rsid w:val="00D12341"/>
    <w:rsid w:val="00D12F4C"/>
    <w:rsid w:val="00D30671"/>
    <w:rsid w:val="00D319CD"/>
    <w:rsid w:val="00D321A0"/>
    <w:rsid w:val="00D330A6"/>
    <w:rsid w:val="00D41658"/>
    <w:rsid w:val="00D4219A"/>
    <w:rsid w:val="00D427D5"/>
    <w:rsid w:val="00D42882"/>
    <w:rsid w:val="00D43813"/>
    <w:rsid w:val="00D45001"/>
    <w:rsid w:val="00D45644"/>
    <w:rsid w:val="00D47BA5"/>
    <w:rsid w:val="00D56D05"/>
    <w:rsid w:val="00D574EB"/>
    <w:rsid w:val="00D61BC8"/>
    <w:rsid w:val="00D62DD6"/>
    <w:rsid w:val="00D63A3C"/>
    <w:rsid w:val="00D63F41"/>
    <w:rsid w:val="00D6506C"/>
    <w:rsid w:val="00D655FA"/>
    <w:rsid w:val="00D74941"/>
    <w:rsid w:val="00D74B9D"/>
    <w:rsid w:val="00D752F3"/>
    <w:rsid w:val="00D809CD"/>
    <w:rsid w:val="00D80A96"/>
    <w:rsid w:val="00D82D70"/>
    <w:rsid w:val="00D902BE"/>
    <w:rsid w:val="00D908F6"/>
    <w:rsid w:val="00D90D81"/>
    <w:rsid w:val="00D91776"/>
    <w:rsid w:val="00D91A67"/>
    <w:rsid w:val="00D92F08"/>
    <w:rsid w:val="00D97F2C"/>
    <w:rsid w:val="00DA1C4D"/>
    <w:rsid w:val="00DA1F55"/>
    <w:rsid w:val="00DA2022"/>
    <w:rsid w:val="00DA490B"/>
    <w:rsid w:val="00DA50D5"/>
    <w:rsid w:val="00DB0BC7"/>
    <w:rsid w:val="00DB1A68"/>
    <w:rsid w:val="00DB2380"/>
    <w:rsid w:val="00DB3348"/>
    <w:rsid w:val="00DB68DE"/>
    <w:rsid w:val="00DC0DAA"/>
    <w:rsid w:val="00DC22BC"/>
    <w:rsid w:val="00DD1BDB"/>
    <w:rsid w:val="00DD53DF"/>
    <w:rsid w:val="00DE054C"/>
    <w:rsid w:val="00DE23A1"/>
    <w:rsid w:val="00DE6457"/>
    <w:rsid w:val="00DE779B"/>
    <w:rsid w:val="00DE791A"/>
    <w:rsid w:val="00DE7E5D"/>
    <w:rsid w:val="00DF04CB"/>
    <w:rsid w:val="00DF2A92"/>
    <w:rsid w:val="00DF2DA8"/>
    <w:rsid w:val="00DF3E1B"/>
    <w:rsid w:val="00DF3FB5"/>
    <w:rsid w:val="00DF4201"/>
    <w:rsid w:val="00DF5D2D"/>
    <w:rsid w:val="00DF5DC7"/>
    <w:rsid w:val="00DF6041"/>
    <w:rsid w:val="00DF69A4"/>
    <w:rsid w:val="00DF705F"/>
    <w:rsid w:val="00E00127"/>
    <w:rsid w:val="00E05D99"/>
    <w:rsid w:val="00E06E43"/>
    <w:rsid w:val="00E070A2"/>
    <w:rsid w:val="00E105C4"/>
    <w:rsid w:val="00E10A3F"/>
    <w:rsid w:val="00E10BA8"/>
    <w:rsid w:val="00E10F42"/>
    <w:rsid w:val="00E16F93"/>
    <w:rsid w:val="00E200FB"/>
    <w:rsid w:val="00E21B4A"/>
    <w:rsid w:val="00E23318"/>
    <w:rsid w:val="00E25D87"/>
    <w:rsid w:val="00E2649F"/>
    <w:rsid w:val="00E27FAD"/>
    <w:rsid w:val="00E3337A"/>
    <w:rsid w:val="00E353BD"/>
    <w:rsid w:val="00E35A99"/>
    <w:rsid w:val="00E36161"/>
    <w:rsid w:val="00E40B44"/>
    <w:rsid w:val="00E4393C"/>
    <w:rsid w:val="00E47BE0"/>
    <w:rsid w:val="00E549E5"/>
    <w:rsid w:val="00E55A19"/>
    <w:rsid w:val="00E56688"/>
    <w:rsid w:val="00E56D50"/>
    <w:rsid w:val="00E63AFB"/>
    <w:rsid w:val="00E6407D"/>
    <w:rsid w:val="00E65D9D"/>
    <w:rsid w:val="00E71358"/>
    <w:rsid w:val="00E720D9"/>
    <w:rsid w:val="00E7270A"/>
    <w:rsid w:val="00E73ACD"/>
    <w:rsid w:val="00E74A7F"/>
    <w:rsid w:val="00E7566B"/>
    <w:rsid w:val="00E76917"/>
    <w:rsid w:val="00E76AED"/>
    <w:rsid w:val="00E84818"/>
    <w:rsid w:val="00E873EF"/>
    <w:rsid w:val="00E90745"/>
    <w:rsid w:val="00E94051"/>
    <w:rsid w:val="00E96ADD"/>
    <w:rsid w:val="00E971A5"/>
    <w:rsid w:val="00E97237"/>
    <w:rsid w:val="00EA1874"/>
    <w:rsid w:val="00EA7001"/>
    <w:rsid w:val="00EA7B17"/>
    <w:rsid w:val="00EB0EE6"/>
    <w:rsid w:val="00EB418C"/>
    <w:rsid w:val="00EB7572"/>
    <w:rsid w:val="00EC2E7C"/>
    <w:rsid w:val="00EC2F5F"/>
    <w:rsid w:val="00EC3E37"/>
    <w:rsid w:val="00EC567F"/>
    <w:rsid w:val="00EC66DE"/>
    <w:rsid w:val="00ED79B6"/>
    <w:rsid w:val="00EE14AF"/>
    <w:rsid w:val="00EE1567"/>
    <w:rsid w:val="00EF13C4"/>
    <w:rsid w:val="00EF2AC7"/>
    <w:rsid w:val="00EF7B90"/>
    <w:rsid w:val="00F01744"/>
    <w:rsid w:val="00F01DFC"/>
    <w:rsid w:val="00F0229E"/>
    <w:rsid w:val="00F025F0"/>
    <w:rsid w:val="00F10436"/>
    <w:rsid w:val="00F14FDE"/>
    <w:rsid w:val="00F2323A"/>
    <w:rsid w:val="00F249B1"/>
    <w:rsid w:val="00F31C6E"/>
    <w:rsid w:val="00F3288B"/>
    <w:rsid w:val="00F3663A"/>
    <w:rsid w:val="00F41395"/>
    <w:rsid w:val="00F41737"/>
    <w:rsid w:val="00F42A53"/>
    <w:rsid w:val="00F46D10"/>
    <w:rsid w:val="00F5185B"/>
    <w:rsid w:val="00F522CD"/>
    <w:rsid w:val="00F52B20"/>
    <w:rsid w:val="00F547AE"/>
    <w:rsid w:val="00F54E67"/>
    <w:rsid w:val="00F55061"/>
    <w:rsid w:val="00F56A8C"/>
    <w:rsid w:val="00F6002B"/>
    <w:rsid w:val="00F60963"/>
    <w:rsid w:val="00F61558"/>
    <w:rsid w:val="00F646C5"/>
    <w:rsid w:val="00F64B79"/>
    <w:rsid w:val="00F64BF2"/>
    <w:rsid w:val="00F66E00"/>
    <w:rsid w:val="00F6770D"/>
    <w:rsid w:val="00F67D79"/>
    <w:rsid w:val="00F67EED"/>
    <w:rsid w:val="00F67F57"/>
    <w:rsid w:val="00F70526"/>
    <w:rsid w:val="00F73BE9"/>
    <w:rsid w:val="00F913F7"/>
    <w:rsid w:val="00F9140D"/>
    <w:rsid w:val="00F92351"/>
    <w:rsid w:val="00F92D56"/>
    <w:rsid w:val="00F94470"/>
    <w:rsid w:val="00F94ACD"/>
    <w:rsid w:val="00F97C0C"/>
    <w:rsid w:val="00FA2042"/>
    <w:rsid w:val="00FA5C6C"/>
    <w:rsid w:val="00FA7B2D"/>
    <w:rsid w:val="00FB4A58"/>
    <w:rsid w:val="00FB524A"/>
    <w:rsid w:val="00FB560E"/>
    <w:rsid w:val="00FB5D97"/>
    <w:rsid w:val="00FB644E"/>
    <w:rsid w:val="00FB747A"/>
    <w:rsid w:val="00FB77D2"/>
    <w:rsid w:val="00FC1A0F"/>
    <w:rsid w:val="00FC3032"/>
    <w:rsid w:val="00FC4DBA"/>
    <w:rsid w:val="00FC6636"/>
    <w:rsid w:val="00FD1AE5"/>
    <w:rsid w:val="00FD2632"/>
    <w:rsid w:val="00FD3141"/>
    <w:rsid w:val="00FD60DA"/>
    <w:rsid w:val="00FD6C7A"/>
    <w:rsid w:val="00FD6FC4"/>
    <w:rsid w:val="00FE0140"/>
    <w:rsid w:val="00FE06D3"/>
    <w:rsid w:val="00FE0740"/>
    <w:rsid w:val="00FE07F2"/>
    <w:rsid w:val="00FE1A5E"/>
    <w:rsid w:val="00FE40D7"/>
    <w:rsid w:val="00FE452A"/>
    <w:rsid w:val="00FE7CA8"/>
    <w:rsid w:val="00FF02A9"/>
    <w:rsid w:val="00FF1F1F"/>
    <w:rsid w:val="00FF2995"/>
    <w:rsid w:val="00FF2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775DD"/>
  <w15:chartTrackingRefBased/>
  <w15:docId w15:val="{BF89CF75-D3FA-6F49-ACAC-5CE109A6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basedOn w:val="Normalny"/>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basedOn w:val="Normalny"/>
    <w:uiPriority w:val="34"/>
    <w:qFormat/>
    <w:rsid w:val="008031A6"/>
    <w:pPr>
      <w:spacing w:after="160" w:line="278" w:lineRule="auto"/>
      <w:ind w:left="720"/>
      <w:contextualSpacing/>
    </w:pPr>
  </w:style>
  <w:style w:type="paragraph" w:styleId="NormalnyWeb">
    <w:name w:val="Normal (Web)"/>
    <w:basedOn w:val="Normalny"/>
    <w:uiPriority w:val="99"/>
    <w:unhideWhenUsed/>
    <w:rsid w:val="00A9299F"/>
    <w:rPr>
      <w:rFonts w:ascii="Times New Roman" w:hAnsi="Times New Roman" w:cs="Times New Roman"/>
    </w:rPr>
  </w:style>
  <w:style w:type="paragraph" w:customStyle="1" w:styleId="xxmsolistparagraph">
    <w:name w:val="x_xmsolistparagraph"/>
    <w:basedOn w:val="Normalny"/>
    <w:rsid w:val="00C14F91"/>
    <w:pPr>
      <w:ind w:left="720"/>
    </w:pPr>
    <w:rPr>
      <w:rFonts w:ascii="Aptos" w:hAnsi="Aptos" w:cs="Calibri"/>
      <w:kern w:val="0"/>
      <w:lang w:eastAsia="pl-PL"/>
      <w14:ligatures w14:val="none"/>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basedOn w:val="Normalny"/>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basedOn w:val="Normalny"/>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 w:type="paragraph" w:styleId="Tekstdymka">
    <w:name w:val="Balloon Text"/>
    <w:basedOn w:val="Normalny"/>
    <w:link w:val="TekstdymkaZnak"/>
    <w:uiPriority w:val="99"/>
    <w:semiHidden/>
    <w:unhideWhenUsed/>
    <w:rsid w:val="00C74B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C74B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6476">
      <w:bodyDiv w:val="1"/>
      <w:marLeft w:val="0"/>
      <w:marRight w:val="0"/>
      <w:marTop w:val="0"/>
      <w:marBottom w:val="0"/>
      <w:divBdr>
        <w:top w:val="none" w:sz="0" w:space="0" w:color="auto"/>
        <w:left w:val="none" w:sz="0" w:space="0" w:color="auto"/>
        <w:bottom w:val="none" w:sz="0" w:space="0" w:color="auto"/>
        <w:right w:val="none" w:sz="0" w:space="0" w:color="auto"/>
      </w:divBdr>
    </w:div>
    <w:div w:id="10425035">
      <w:bodyDiv w:val="1"/>
      <w:marLeft w:val="0"/>
      <w:marRight w:val="0"/>
      <w:marTop w:val="0"/>
      <w:marBottom w:val="0"/>
      <w:divBdr>
        <w:top w:val="none" w:sz="0" w:space="0" w:color="auto"/>
        <w:left w:val="none" w:sz="0" w:space="0" w:color="auto"/>
        <w:bottom w:val="none" w:sz="0" w:space="0" w:color="auto"/>
        <w:right w:val="none" w:sz="0" w:space="0" w:color="auto"/>
      </w:divBdr>
    </w:div>
    <w:div w:id="128019383">
      <w:bodyDiv w:val="1"/>
      <w:marLeft w:val="0"/>
      <w:marRight w:val="0"/>
      <w:marTop w:val="0"/>
      <w:marBottom w:val="0"/>
      <w:divBdr>
        <w:top w:val="none" w:sz="0" w:space="0" w:color="auto"/>
        <w:left w:val="none" w:sz="0" w:space="0" w:color="auto"/>
        <w:bottom w:val="none" w:sz="0" w:space="0" w:color="auto"/>
        <w:right w:val="none" w:sz="0" w:space="0" w:color="auto"/>
      </w:divBdr>
    </w:div>
    <w:div w:id="162279378">
      <w:bodyDiv w:val="1"/>
      <w:marLeft w:val="0"/>
      <w:marRight w:val="0"/>
      <w:marTop w:val="0"/>
      <w:marBottom w:val="0"/>
      <w:divBdr>
        <w:top w:val="none" w:sz="0" w:space="0" w:color="auto"/>
        <w:left w:val="none" w:sz="0" w:space="0" w:color="auto"/>
        <w:bottom w:val="none" w:sz="0" w:space="0" w:color="auto"/>
        <w:right w:val="none" w:sz="0" w:space="0" w:color="auto"/>
      </w:divBdr>
      <w:divsChild>
        <w:div w:id="344596489">
          <w:marLeft w:val="0"/>
          <w:marRight w:val="0"/>
          <w:marTop w:val="0"/>
          <w:marBottom w:val="0"/>
          <w:divBdr>
            <w:top w:val="none" w:sz="0" w:space="0" w:color="auto"/>
            <w:left w:val="none" w:sz="0" w:space="0" w:color="auto"/>
            <w:bottom w:val="none" w:sz="0" w:space="0" w:color="auto"/>
            <w:right w:val="none" w:sz="0" w:space="0" w:color="auto"/>
          </w:divBdr>
          <w:divsChild>
            <w:div w:id="1355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1594">
      <w:bodyDiv w:val="1"/>
      <w:marLeft w:val="0"/>
      <w:marRight w:val="0"/>
      <w:marTop w:val="0"/>
      <w:marBottom w:val="0"/>
      <w:divBdr>
        <w:top w:val="none" w:sz="0" w:space="0" w:color="auto"/>
        <w:left w:val="none" w:sz="0" w:space="0" w:color="auto"/>
        <w:bottom w:val="none" w:sz="0" w:space="0" w:color="auto"/>
        <w:right w:val="none" w:sz="0" w:space="0" w:color="auto"/>
      </w:divBdr>
    </w:div>
    <w:div w:id="277033665">
      <w:bodyDiv w:val="1"/>
      <w:marLeft w:val="0"/>
      <w:marRight w:val="0"/>
      <w:marTop w:val="0"/>
      <w:marBottom w:val="0"/>
      <w:divBdr>
        <w:top w:val="none" w:sz="0" w:space="0" w:color="auto"/>
        <w:left w:val="none" w:sz="0" w:space="0" w:color="auto"/>
        <w:bottom w:val="none" w:sz="0" w:space="0" w:color="auto"/>
        <w:right w:val="none" w:sz="0" w:space="0" w:color="auto"/>
      </w:divBdr>
    </w:div>
    <w:div w:id="288557924">
      <w:bodyDiv w:val="1"/>
      <w:marLeft w:val="0"/>
      <w:marRight w:val="0"/>
      <w:marTop w:val="0"/>
      <w:marBottom w:val="0"/>
      <w:divBdr>
        <w:top w:val="none" w:sz="0" w:space="0" w:color="auto"/>
        <w:left w:val="none" w:sz="0" w:space="0" w:color="auto"/>
        <w:bottom w:val="none" w:sz="0" w:space="0" w:color="auto"/>
        <w:right w:val="none" w:sz="0" w:space="0" w:color="auto"/>
      </w:divBdr>
    </w:div>
    <w:div w:id="371686013">
      <w:bodyDiv w:val="1"/>
      <w:marLeft w:val="0"/>
      <w:marRight w:val="0"/>
      <w:marTop w:val="0"/>
      <w:marBottom w:val="0"/>
      <w:divBdr>
        <w:top w:val="none" w:sz="0" w:space="0" w:color="auto"/>
        <w:left w:val="none" w:sz="0" w:space="0" w:color="auto"/>
        <w:bottom w:val="none" w:sz="0" w:space="0" w:color="auto"/>
        <w:right w:val="none" w:sz="0" w:space="0" w:color="auto"/>
      </w:divBdr>
    </w:div>
    <w:div w:id="373162367">
      <w:bodyDiv w:val="1"/>
      <w:marLeft w:val="0"/>
      <w:marRight w:val="0"/>
      <w:marTop w:val="0"/>
      <w:marBottom w:val="0"/>
      <w:divBdr>
        <w:top w:val="none" w:sz="0" w:space="0" w:color="auto"/>
        <w:left w:val="none" w:sz="0" w:space="0" w:color="auto"/>
        <w:bottom w:val="none" w:sz="0" w:space="0" w:color="auto"/>
        <w:right w:val="none" w:sz="0" w:space="0" w:color="auto"/>
      </w:divBdr>
    </w:div>
    <w:div w:id="379331996">
      <w:bodyDiv w:val="1"/>
      <w:marLeft w:val="0"/>
      <w:marRight w:val="0"/>
      <w:marTop w:val="0"/>
      <w:marBottom w:val="0"/>
      <w:divBdr>
        <w:top w:val="none" w:sz="0" w:space="0" w:color="auto"/>
        <w:left w:val="none" w:sz="0" w:space="0" w:color="auto"/>
        <w:bottom w:val="none" w:sz="0" w:space="0" w:color="auto"/>
        <w:right w:val="none" w:sz="0" w:space="0" w:color="auto"/>
      </w:divBdr>
      <w:divsChild>
        <w:div w:id="2100901671">
          <w:marLeft w:val="0"/>
          <w:marRight w:val="0"/>
          <w:marTop w:val="0"/>
          <w:marBottom w:val="0"/>
          <w:divBdr>
            <w:top w:val="none" w:sz="0" w:space="0" w:color="auto"/>
            <w:left w:val="none" w:sz="0" w:space="0" w:color="auto"/>
            <w:bottom w:val="none" w:sz="0" w:space="0" w:color="auto"/>
            <w:right w:val="none" w:sz="0" w:space="0" w:color="auto"/>
          </w:divBdr>
          <w:divsChild>
            <w:div w:id="11602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5003">
      <w:bodyDiv w:val="1"/>
      <w:marLeft w:val="0"/>
      <w:marRight w:val="0"/>
      <w:marTop w:val="0"/>
      <w:marBottom w:val="0"/>
      <w:divBdr>
        <w:top w:val="none" w:sz="0" w:space="0" w:color="auto"/>
        <w:left w:val="none" w:sz="0" w:space="0" w:color="auto"/>
        <w:bottom w:val="none" w:sz="0" w:space="0" w:color="auto"/>
        <w:right w:val="none" w:sz="0" w:space="0" w:color="auto"/>
      </w:divBdr>
    </w:div>
    <w:div w:id="427391187">
      <w:bodyDiv w:val="1"/>
      <w:marLeft w:val="0"/>
      <w:marRight w:val="0"/>
      <w:marTop w:val="0"/>
      <w:marBottom w:val="0"/>
      <w:divBdr>
        <w:top w:val="none" w:sz="0" w:space="0" w:color="auto"/>
        <w:left w:val="none" w:sz="0" w:space="0" w:color="auto"/>
        <w:bottom w:val="none" w:sz="0" w:space="0" w:color="auto"/>
        <w:right w:val="none" w:sz="0" w:space="0" w:color="auto"/>
      </w:divBdr>
    </w:div>
    <w:div w:id="455875633">
      <w:bodyDiv w:val="1"/>
      <w:marLeft w:val="0"/>
      <w:marRight w:val="0"/>
      <w:marTop w:val="0"/>
      <w:marBottom w:val="0"/>
      <w:divBdr>
        <w:top w:val="none" w:sz="0" w:space="0" w:color="auto"/>
        <w:left w:val="none" w:sz="0" w:space="0" w:color="auto"/>
        <w:bottom w:val="none" w:sz="0" w:space="0" w:color="auto"/>
        <w:right w:val="none" w:sz="0" w:space="0" w:color="auto"/>
      </w:divBdr>
    </w:div>
    <w:div w:id="466238561">
      <w:bodyDiv w:val="1"/>
      <w:marLeft w:val="0"/>
      <w:marRight w:val="0"/>
      <w:marTop w:val="0"/>
      <w:marBottom w:val="0"/>
      <w:divBdr>
        <w:top w:val="none" w:sz="0" w:space="0" w:color="auto"/>
        <w:left w:val="none" w:sz="0" w:space="0" w:color="auto"/>
        <w:bottom w:val="none" w:sz="0" w:space="0" w:color="auto"/>
        <w:right w:val="none" w:sz="0" w:space="0" w:color="auto"/>
      </w:divBdr>
      <w:divsChild>
        <w:div w:id="62777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695072">
      <w:bodyDiv w:val="1"/>
      <w:marLeft w:val="0"/>
      <w:marRight w:val="0"/>
      <w:marTop w:val="0"/>
      <w:marBottom w:val="0"/>
      <w:divBdr>
        <w:top w:val="none" w:sz="0" w:space="0" w:color="auto"/>
        <w:left w:val="none" w:sz="0" w:space="0" w:color="auto"/>
        <w:bottom w:val="none" w:sz="0" w:space="0" w:color="auto"/>
        <w:right w:val="none" w:sz="0" w:space="0" w:color="auto"/>
      </w:divBdr>
    </w:div>
    <w:div w:id="492137537">
      <w:bodyDiv w:val="1"/>
      <w:marLeft w:val="0"/>
      <w:marRight w:val="0"/>
      <w:marTop w:val="0"/>
      <w:marBottom w:val="0"/>
      <w:divBdr>
        <w:top w:val="none" w:sz="0" w:space="0" w:color="auto"/>
        <w:left w:val="none" w:sz="0" w:space="0" w:color="auto"/>
        <w:bottom w:val="none" w:sz="0" w:space="0" w:color="auto"/>
        <w:right w:val="none" w:sz="0" w:space="0" w:color="auto"/>
      </w:divBdr>
      <w:divsChild>
        <w:div w:id="1953706645">
          <w:marLeft w:val="0"/>
          <w:marRight w:val="0"/>
          <w:marTop w:val="0"/>
          <w:marBottom w:val="0"/>
          <w:divBdr>
            <w:top w:val="none" w:sz="0" w:space="0" w:color="auto"/>
            <w:left w:val="none" w:sz="0" w:space="0" w:color="auto"/>
            <w:bottom w:val="none" w:sz="0" w:space="0" w:color="auto"/>
            <w:right w:val="none" w:sz="0" w:space="0" w:color="auto"/>
          </w:divBdr>
          <w:divsChild>
            <w:div w:id="1680113612">
              <w:marLeft w:val="0"/>
              <w:marRight w:val="0"/>
              <w:marTop w:val="0"/>
              <w:marBottom w:val="0"/>
              <w:divBdr>
                <w:top w:val="none" w:sz="0" w:space="0" w:color="auto"/>
                <w:left w:val="none" w:sz="0" w:space="0" w:color="auto"/>
                <w:bottom w:val="none" w:sz="0" w:space="0" w:color="auto"/>
                <w:right w:val="none" w:sz="0" w:space="0" w:color="auto"/>
              </w:divBdr>
              <w:divsChild>
                <w:div w:id="429475084">
                  <w:marLeft w:val="0"/>
                  <w:marRight w:val="0"/>
                  <w:marTop w:val="0"/>
                  <w:marBottom w:val="0"/>
                  <w:divBdr>
                    <w:top w:val="none" w:sz="0" w:space="0" w:color="auto"/>
                    <w:left w:val="none" w:sz="0" w:space="0" w:color="auto"/>
                    <w:bottom w:val="none" w:sz="0" w:space="0" w:color="auto"/>
                    <w:right w:val="none" w:sz="0" w:space="0" w:color="auto"/>
                  </w:divBdr>
                  <w:divsChild>
                    <w:div w:id="1919555870">
                      <w:marLeft w:val="0"/>
                      <w:marRight w:val="0"/>
                      <w:marTop w:val="0"/>
                      <w:marBottom w:val="0"/>
                      <w:divBdr>
                        <w:top w:val="none" w:sz="0" w:space="0" w:color="auto"/>
                        <w:left w:val="none" w:sz="0" w:space="0" w:color="auto"/>
                        <w:bottom w:val="none" w:sz="0" w:space="0" w:color="auto"/>
                        <w:right w:val="none" w:sz="0" w:space="0" w:color="auto"/>
                      </w:divBdr>
                      <w:divsChild>
                        <w:div w:id="3870340">
                          <w:marLeft w:val="0"/>
                          <w:marRight w:val="0"/>
                          <w:marTop w:val="0"/>
                          <w:marBottom w:val="0"/>
                          <w:divBdr>
                            <w:top w:val="none" w:sz="0" w:space="0" w:color="auto"/>
                            <w:left w:val="none" w:sz="0" w:space="0" w:color="auto"/>
                            <w:bottom w:val="none" w:sz="0" w:space="0" w:color="auto"/>
                            <w:right w:val="none" w:sz="0" w:space="0" w:color="auto"/>
                          </w:divBdr>
                          <w:divsChild>
                            <w:div w:id="2047026222">
                              <w:marLeft w:val="0"/>
                              <w:marRight w:val="0"/>
                              <w:marTop w:val="0"/>
                              <w:marBottom w:val="0"/>
                              <w:divBdr>
                                <w:top w:val="none" w:sz="0" w:space="0" w:color="auto"/>
                                <w:left w:val="none" w:sz="0" w:space="0" w:color="auto"/>
                                <w:bottom w:val="none" w:sz="0" w:space="0" w:color="auto"/>
                                <w:right w:val="none" w:sz="0" w:space="0" w:color="auto"/>
                              </w:divBdr>
                              <w:divsChild>
                                <w:div w:id="952638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63839535">
                  <w:marLeft w:val="0"/>
                  <w:marRight w:val="0"/>
                  <w:marTop w:val="0"/>
                  <w:marBottom w:val="0"/>
                  <w:divBdr>
                    <w:top w:val="none" w:sz="0" w:space="0" w:color="auto"/>
                    <w:left w:val="none" w:sz="0" w:space="0" w:color="auto"/>
                    <w:bottom w:val="none" w:sz="0" w:space="0" w:color="auto"/>
                    <w:right w:val="none" w:sz="0" w:space="0" w:color="auto"/>
                  </w:divBdr>
                  <w:divsChild>
                    <w:div w:id="19428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85763">
      <w:bodyDiv w:val="1"/>
      <w:marLeft w:val="0"/>
      <w:marRight w:val="0"/>
      <w:marTop w:val="0"/>
      <w:marBottom w:val="0"/>
      <w:divBdr>
        <w:top w:val="none" w:sz="0" w:space="0" w:color="auto"/>
        <w:left w:val="none" w:sz="0" w:space="0" w:color="auto"/>
        <w:bottom w:val="none" w:sz="0" w:space="0" w:color="auto"/>
        <w:right w:val="none" w:sz="0" w:space="0" w:color="auto"/>
      </w:divBdr>
    </w:div>
    <w:div w:id="535894701">
      <w:bodyDiv w:val="1"/>
      <w:marLeft w:val="0"/>
      <w:marRight w:val="0"/>
      <w:marTop w:val="0"/>
      <w:marBottom w:val="0"/>
      <w:divBdr>
        <w:top w:val="none" w:sz="0" w:space="0" w:color="auto"/>
        <w:left w:val="none" w:sz="0" w:space="0" w:color="auto"/>
        <w:bottom w:val="none" w:sz="0" w:space="0" w:color="auto"/>
        <w:right w:val="none" w:sz="0" w:space="0" w:color="auto"/>
      </w:divBdr>
    </w:div>
    <w:div w:id="564994208">
      <w:bodyDiv w:val="1"/>
      <w:marLeft w:val="0"/>
      <w:marRight w:val="0"/>
      <w:marTop w:val="0"/>
      <w:marBottom w:val="0"/>
      <w:divBdr>
        <w:top w:val="none" w:sz="0" w:space="0" w:color="auto"/>
        <w:left w:val="none" w:sz="0" w:space="0" w:color="auto"/>
        <w:bottom w:val="none" w:sz="0" w:space="0" w:color="auto"/>
        <w:right w:val="none" w:sz="0" w:space="0" w:color="auto"/>
      </w:divBdr>
    </w:div>
    <w:div w:id="580144835">
      <w:bodyDiv w:val="1"/>
      <w:marLeft w:val="0"/>
      <w:marRight w:val="0"/>
      <w:marTop w:val="0"/>
      <w:marBottom w:val="0"/>
      <w:divBdr>
        <w:top w:val="none" w:sz="0" w:space="0" w:color="auto"/>
        <w:left w:val="none" w:sz="0" w:space="0" w:color="auto"/>
        <w:bottom w:val="none" w:sz="0" w:space="0" w:color="auto"/>
        <w:right w:val="none" w:sz="0" w:space="0" w:color="auto"/>
      </w:divBdr>
    </w:div>
    <w:div w:id="592935287">
      <w:bodyDiv w:val="1"/>
      <w:marLeft w:val="0"/>
      <w:marRight w:val="0"/>
      <w:marTop w:val="0"/>
      <w:marBottom w:val="0"/>
      <w:divBdr>
        <w:top w:val="none" w:sz="0" w:space="0" w:color="auto"/>
        <w:left w:val="none" w:sz="0" w:space="0" w:color="auto"/>
        <w:bottom w:val="none" w:sz="0" w:space="0" w:color="auto"/>
        <w:right w:val="none" w:sz="0" w:space="0" w:color="auto"/>
      </w:divBdr>
    </w:div>
    <w:div w:id="599293631">
      <w:bodyDiv w:val="1"/>
      <w:marLeft w:val="0"/>
      <w:marRight w:val="0"/>
      <w:marTop w:val="0"/>
      <w:marBottom w:val="0"/>
      <w:divBdr>
        <w:top w:val="none" w:sz="0" w:space="0" w:color="auto"/>
        <w:left w:val="none" w:sz="0" w:space="0" w:color="auto"/>
        <w:bottom w:val="none" w:sz="0" w:space="0" w:color="auto"/>
        <w:right w:val="none" w:sz="0" w:space="0" w:color="auto"/>
      </w:divBdr>
    </w:div>
    <w:div w:id="650794310">
      <w:bodyDiv w:val="1"/>
      <w:marLeft w:val="0"/>
      <w:marRight w:val="0"/>
      <w:marTop w:val="0"/>
      <w:marBottom w:val="0"/>
      <w:divBdr>
        <w:top w:val="none" w:sz="0" w:space="0" w:color="auto"/>
        <w:left w:val="none" w:sz="0" w:space="0" w:color="auto"/>
        <w:bottom w:val="none" w:sz="0" w:space="0" w:color="auto"/>
        <w:right w:val="none" w:sz="0" w:space="0" w:color="auto"/>
      </w:divBdr>
    </w:div>
    <w:div w:id="752819951">
      <w:bodyDiv w:val="1"/>
      <w:marLeft w:val="0"/>
      <w:marRight w:val="0"/>
      <w:marTop w:val="0"/>
      <w:marBottom w:val="0"/>
      <w:divBdr>
        <w:top w:val="none" w:sz="0" w:space="0" w:color="auto"/>
        <w:left w:val="none" w:sz="0" w:space="0" w:color="auto"/>
        <w:bottom w:val="none" w:sz="0" w:space="0" w:color="auto"/>
        <w:right w:val="none" w:sz="0" w:space="0" w:color="auto"/>
      </w:divBdr>
    </w:div>
    <w:div w:id="834954772">
      <w:bodyDiv w:val="1"/>
      <w:marLeft w:val="0"/>
      <w:marRight w:val="0"/>
      <w:marTop w:val="0"/>
      <w:marBottom w:val="0"/>
      <w:divBdr>
        <w:top w:val="none" w:sz="0" w:space="0" w:color="auto"/>
        <w:left w:val="none" w:sz="0" w:space="0" w:color="auto"/>
        <w:bottom w:val="none" w:sz="0" w:space="0" w:color="auto"/>
        <w:right w:val="none" w:sz="0" w:space="0" w:color="auto"/>
      </w:divBdr>
    </w:div>
    <w:div w:id="839126415">
      <w:bodyDiv w:val="1"/>
      <w:marLeft w:val="0"/>
      <w:marRight w:val="0"/>
      <w:marTop w:val="0"/>
      <w:marBottom w:val="0"/>
      <w:divBdr>
        <w:top w:val="none" w:sz="0" w:space="0" w:color="auto"/>
        <w:left w:val="none" w:sz="0" w:space="0" w:color="auto"/>
        <w:bottom w:val="none" w:sz="0" w:space="0" w:color="auto"/>
        <w:right w:val="none" w:sz="0" w:space="0" w:color="auto"/>
      </w:divBdr>
    </w:div>
    <w:div w:id="879049026">
      <w:bodyDiv w:val="1"/>
      <w:marLeft w:val="0"/>
      <w:marRight w:val="0"/>
      <w:marTop w:val="0"/>
      <w:marBottom w:val="0"/>
      <w:divBdr>
        <w:top w:val="none" w:sz="0" w:space="0" w:color="auto"/>
        <w:left w:val="none" w:sz="0" w:space="0" w:color="auto"/>
        <w:bottom w:val="none" w:sz="0" w:space="0" w:color="auto"/>
        <w:right w:val="none" w:sz="0" w:space="0" w:color="auto"/>
      </w:divBdr>
      <w:divsChild>
        <w:div w:id="29965441">
          <w:marLeft w:val="0"/>
          <w:marRight w:val="0"/>
          <w:marTop w:val="0"/>
          <w:marBottom w:val="0"/>
          <w:divBdr>
            <w:top w:val="none" w:sz="0" w:space="0" w:color="auto"/>
            <w:left w:val="none" w:sz="0" w:space="0" w:color="auto"/>
            <w:bottom w:val="none" w:sz="0" w:space="0" w:color="auto"/>
            <w:right w:val="none" w:sz="0" w:space="0" w:color="auto"/>
          </w:divBdr>
          <w:divsChild>
            <w:div w:id="75370240">
              <w:marLeft w:val="0"/>
              <w:marRight w:val="0"/>
              <w:marTop w:val="0"/>
              <w:marBottom w:val="0"/>
              <w:divBdr>
                <w:top w:val="none" w:sz="0" w:space="0" w:color="auto"/>
                <w:left w:val="none" w:sz="0" w:space="0" w:color="auto"/>
                <w:bottom w:val="none" w:sz="0" w:space="0" w:color="auto"/>
                <w:right w:val="none" w:sz="0" w:space="0" w:color="auto"/>
              </w:divBdr>
              <w:divsChild>
                <w:div w:id="1066562745">
                  <w:marLeft w:val="0"/>
                  <w:marRight w:val="0"/>
                  <w:marTop w:val="0"/>
                  <w:marBottom w:val="0"/>
                  <w:divBdr>
                    <w:top w:val="none" w:sz="0" w:space="0" w:color="auto"/>
                    <w:left w:val="none" w:sz="0" w:space="0" w:color="auto"/>
                    <w:bottom w:val="none" w:sz="0" w:space="0" w:color="auto"/>
                    <w:right w:val="none" w:sz="0" w:space="0" w:color="auto"/>
                  </w:divBdr>
                  <w:divsChild>
                    <w:div w:id="288050146">
                      <w:marLeft w:val="0"/>
                      <w:marRight w:val="0"/>
                      <w:marTop w:val="0"/>
                      <w:marBottom w:val="0"/>
                      <w:divBdr>
                        <w:top w:val="none" w:sz="0" w:space="0" w:color="auto"/>
                        <w:left w:val="none" w:sz="0" w:space="0" w:color="auto"/>
                        <w:bottom w:val="none" w:sz="0" w:space="0" w:color="auto"/>
                        <w:right w:val="none" w:sz="0" w:space="0" w:color="auto"/>
                      </w:divBdr>
                      <w:divsChild>
                        <w:div w:id="2104690529">
                          <w:marLeft w:val="0"/>
                          <w:marRight w:val="0"/>
                          <w:marTop w:val="0"/>
                          <w:marBottom w:val="0"/>
                          <w:divBdr>
                            <w:top w:val="none" w:sz="0" w:space="0" w:color="auto"/>
                            <w:left w:val="none" w:sz="0" w:space="0" w:color="auto"/>
                            <w:bottom w:val="none" w:sz="0" w:space="0" w:color="auto"/>
                            <w:right w:val="none" w:sz="0" w:space="0" w:color="auto"/>
                          </w:divBdr>
                          <w:divsChild>
                            <w:div w:id="599529867">
                              <w:marLeft w:val="0"/>
                              <w:marRight w:val="0"/>
                              <w:marTop w:val="0"/>
                              <w:marBottom w:val="0"/>
                              <w:divBdr>
                                <w:top w:val="none" w:sz="0" w:space="0" w:color="auto"/>
                                <w:left w:val="none" w:sz="0" w:space="0" w:color="auto"/>
                                <w:bottom w:val="none" w:sz="0" w:space="0" w:color="auto"/>
                                <w:right w:val="none" w:sz="0" w:space="0" w:color="auto"/>
                              </w:divBdr>
                              <w:divsChild>
                                <w:div w:id="546382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72535682">
                  <w:marLeft w:val="0"/>
                  <w:marRight w:val="0"/>
                  <w:marTop w:val="0"/>
                  <w:marBottom w:val="0"/>
                  <w:divBdr>
                    <w:top w:val="none" w:sz="0" w:space="0" w:color="auto"/>
                    <w:left w:val="none" w:sz="0" w:space="0" w:color="auto"/>
                    <w:bottom w:val="none" w:sz="0" w:space="0" w:color="auto"/>
                    <w:right w:val="none" w:sz="0" w:space="0" w:color="auto"/>
                  </w:divBdr>
                  <w:divsChild>
                    <w:div w:id="20010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869353">
      <w:bodyDiv w:val="1"/>
      <w:marLeft w:val="0"/>
      <w:marRight w:val="0"/>
      <w:marTop w:val="0"/>
      <w:marBottom w:val="0"/>
      <w:divBdr>
        <w:top w:val="none" w:sz="0" w:space="0" w:color="auto"/>
        <w:left w:val="none" w:sz="0" w:space="0" w:color="auto"/>
        <w:bottom w:val="none" w:sz="0" w:space="0" w:color="auto"/>
        <w:right w:val="none" w:sz="0" w:space="0" w:color="auto"/>
      </w:divBdr>
    </w:div>
    <w:div w:id="899099907">
      <w:bodyDiv w:val="1"/>
      <w:marLeft w:val="0"/>
      <w:marRight w:val="0"/>
      <w:marTop w:val="0"/>
      <w:marBottom w:val="0"/>
      <w:divBdr>
        <w:top w:val="none" w:sz="0" w:space="0" w:color="auto"/>
        <w:left w:val="none" w:sz="0" w:space="0" w:color="auto"/>
        <w:bottom w:val="none" w:sz="0" w:space="0" w:color="auto"/>
        <w:right w:val="none" w:sz="0" w:space="0" w:color="auto"/>
      </w:divBdr>
    </w:div>
    <w:div w:id="906454892">
      <w:bodyDiv w:val="1"/>
      <w:marLeft w:val="0"/>
      <w:marRight w:val="0"/>
      <w:marTop w:val="0"/>
      <w:marBottom w:val="0"/>
      <w:divBdr>
        <w:top w:val="none" w:sz="0" w:space="0" w:color="auto"/>
        <w:left w:val="none" w:sz="0" w:space="0" w:color="auto"/>
        <w:bottom w:val="none" w:sz="0" w:space="0" w:color="auto"/>
        <w:right w:val="none" w:sz="0" w:space="0" w:color="auto"/>
      </w:divBdr>
    </w:div>
    <w:div w:id="919022058">
      <w:bodyDiv w:val="1"/>
      <w:marLeft w:val="0"/>
      <w:marRight w:val="0"/>
      <w:marTop w:val="0"/>
      <w:marBottom w:val="0"/>
      <w:divBdr>
        <w:top w:val="none" w:sz="0" w:space="0" w:color="auto"/>
        <w:left w:val="none" w:sz="0" w:space="0" w:color="auto"/>
        <w:bottom w:val="none" w:sz="0" w:space="0" w:color="auto"/>
        <w:right w:val="none" w:sz="0" w:space="0" w:color="auto"/>
      </w:divBdr>
    </w:div>
    <w:div w:id="941375674">
      <w:bodyDiv w:val="1"/>
      <w:marLeft w:val="0"/>
      <w:marRight w:val="0"/>
      <w:marTop w:val="0"/>
      <w:marBottom w:val="0"/>
      <w:divBdr>
        <w:top w:val="none" w:sz="0" w:space="0" w:color="auto"/>
        <w:left w:val="none" w:sz="0" w:space="0" w:color="auto"/>
        <w:bottom w:val="none" w:sz="0" w:space="0" w:color="auto"/>
        <w:right w:val="none" w:sz="0" w:space="0" w:color="auto"/>
      </w:divBdr>
    </w:div>
    <w:div w:id="942767309">
      <w:bodyDiv w:val="1"/>
      <w:marLeft w:val="0"/>
      <w:marRight w:val="0"/>
      <w:marTop w:val="0"/>
      <w:marBottom w:val="0"/>
      <w:divBdr>
        <w:top w:val="none" w:sz="0" w:space="0" w:color="auto"/>
        <w:left w:val="none" w:sz="0" w:space="0" w:color="auto"/>
        <w:bottom w:val="none" w:sz="0" w:space="0" w:color="auto"/>
        <w:right w:val="none" w:sz="0" w:space="0" w:color="auto"/>
      </w:divBdr>
    </w:div>
    <w:div w:id="983853017">
      <w:bodyDiv w:val="1"/>
      <w:marLeft w:val="0"/>
      <w:marRight w:val="0"/>
      <w:marTop w:val="0"/>
      <w:marBottom w:val="0"/>
      <w:divBdr>
        <w:top w:val="none" w:sz="0" w:space="0" w:color="auto"/>
        <w:left w:val="none" w:sz="0" w:space="0" w:color="auto"/>
        <w:bottom w:val="none" w:sz="0" w:space="0" w:color="auto"/>
        <w:right w:val="none" w:sz="0" w:space="0" w:color="auto"/>
      </w:divBdr>
    </w:div>
    <w:div w:id="989745841">
      <w:bodyDiv w:val="1"/>
      <w:marLeft w:val="0"/>
      <w:marRight w:val="0"/>
      <w:marTop w:val="0"/>
      <w:marBottom w:val="0"/>
      <w:divBdr>
        <w:top w:val="none" w:sz="0" w:space="0" w:color="auto"/>
        <w:left w:val="none" w:sz="0" w:space="0" w:color="auto"/>
        <w:bottom w:val="none" w:sz="0" w:space="0" w:color="auto"/>
        <w:right w:val="none" w:sz="0" w:space="0" w:color="auto"/>
      </w:divBdr>
    </w:div>
    <w:div w:id="1012604924">
      <w:bodyDiv w:val="1"/>
      <w:marLeft w:val="0"/>
      <w:marRight w:val="0"/>
      <w:marTop w:val="0"/>
      <w:marBottom w:val="0"/>
      <w:divBdr>
        <w:top w:val="none" w:sz="0" w:space="0" w:color="auto"/>
        <w:left w:val="none" w:sz="0" w:space="0" w:color="auto"/>
        <w:bottom w:val="none" w:sz="0" w:space="0" w:color="auto"/>
        <w:right w:val="none" w:sz="0" w:space="0" w:color="auto"/>
      </w:divBdr>
    </w:div>
    <w:div w:id="1031416902">
      <w:bodyDiv w:val="1"/>
      <w:marLeft w:val="0"/>
      <w:marRight w:val="0"/>
      <w:marTop w:val="0"/>
      <w:marBottom w:val="0"/>
      <w:divBdr>
        <w:top w:val="none" w:sz="0" w:space="0" w:color="auto"/>
        <w:left w:val="none" w:sz="0" w:space="0" w:color="auto"/>
        <w:bottom w:val="none" w:sz="0" w:space="0" w:color="auto"/>
        <w:right w:val="none" w:sz="0" w:space="0" w:color="auto"/>
      </w:divBdr>
    </w:div>
    <w:div w:id="1034500882">
      <w:bodyDiv w:val="1"/>
      <w:marLeft w:val="0"/>
      <w:marRight w:val="0"/>
      <w:marTop w:val="0"/>
      <w:marBottom w:val="0"/>
      <w:divBdr>
        <w:top w:val="none" w:sz="0" w:space="0" w:color="auto"/>
        <w:left w:val="none" w:sz="0" w:space="0" w:color="auto"/>
        <w:bottom w:val="none" w:sz="0" w:space="0" w:color="auto"/>
        <w:right w:val="none" w:sz="0" w:space="0" w:color="auto"/>
      </w:divBdr>
    </w:div>
    <w:div w:id="1049457073">
      <w:bodyDiv w:val="1"/>
      <w:marLeft w:val="0"/>
      <w:marRight w:val="0"/>
      <w:marTop w:val="0"/>
      <w:marBottom w:val="0"/>
      <w:divBdr>
        <w:top w:val="none" w:sz="0" w:space="0" w:color="auto"/>
        <w:left w:val="none" w:sz="0" w:space="0" w:color="auto"/>
        <w:bottom w:val="none" w:sz="0" w:space="0" w:color="auto"/>
        <w:right w:val="none" w:sz="0" w:space="0" w:color="auto"/>
      </w:divBdr>
    </w:div>
    <w:div w:id="1057629312">
      <w:bodyDiv w:val="1"/>
      <w:marLeft w:val="0"/>
      <w:marRight w:val="0"/>
      <w:marTop w:val="0"/>
      <w:marBottom w:val="0"/>
      <w:divBdr>
        <w:top w:val="none" w:sz="0" w:space="0" w:color="auto"/>
        <w:left w:val="none" w:sz="0" w:space="0" w:color="auto"/>
        <w:bottom w:val="none" w:sz="0" w:space="0" w:color="auto"/>
        <w:right w:val="none" w:sz="0" w:space="0" w:color="auto"/>
      </w:divBdr>
    </w:div>
    <w:div w:id="1076394417">
      <w:bodyDiv w:val="1"/>
      <w:marLeft w:val="0"/>
      <w:marRight w:val="0"/>
      <w:marTop w:val="0"/>
      <w:marBottom w:val="0"/>
      <w:divBdr>
        <w:top w:val="none" w:sz="0" w:space="0" w:color="auto"/>
        <w:left w:val="none" w:sz="0" w:space="0" w:color="auto"/>
        <w:bottom w:val="none" w:sz="0" w:space="0" w:color="auto"/>
        <w:right w:val="none" w:sz="0" w:space="0" w:color="auto"/>
      </w:divBdr>
    </w:div>
    <w:div w:id="1105928631">
      <w:bodyDiv w:val="1"/>
      <w:marLeft w:val="0"/>
      <w:marRight w:val="0"/>
      <w:marTop w:val="0"/>
      <w:marBottom w:val="0"/>
      <w:divBdr>
        <w:top w:val="none" w:sz="0" w:space="0" w:color="auto"/>
        <w:left w:val="none" w:sz="0" w:space="0" w:color="auto"/>
        <w:bottom w:val="none" w:sz="0" w:space="0" w:color="auto"/>
        <w:right w:val="none" w:sz="0" w:space="0" w:color="auto"/>
      </w:divBdr>
    </w:div>
    <w:div w:id="1152060757">
      <w:bodyDiv w:val="1"/>
      <w:marLeft w:val="0"/>
      <w:marRight w:val="0"/>
      <w:marTop w:val="0"/>
      <w:marBottom w:val="0"/>
      <w:divBdr>
        <w:top w:val="none" w:sz="0" w:space="0" w:color="auto"/>
        <w:left w:val="none" w:sz="0" w:space="0" w:color="auto"/>
        <w:bottom w:val="none" w:sz="0" w:space="0" w:color="auto"/>
        <w:right w:val="none" w:sz="0" w:space="0" w:color="auto"/>
      </w:divBdr>
    </w:div>
    <w:div w:id="1156804626">
      <w:bodyDiv w:val="1"/>
      <w:marLeft w:val="0"/>
      <w:marRight w:val="0"/>
      <w:marTop w:val="0"/>
      <w:marBottom w:val="0"/>
      <w:divBdr>
        <w:top w:val="none" w:sz="0" w:space="0" w:color="auto"/>
        <w:left w:val="none" w:sz="0" w:space="0" w:color="auto"/>
        <w:bottom w:val="none" w:sz="0" w:space="0" w:color="auto"/>
        <w:right w:val="none" w:sz="0" w:space="0" w:color="auto"/>
      </w:divBdr>
    </w:div>
    <w:div w:id="1168784976">
      <w:bodyDiv w:val="1"/>
      <w:marLeft w:val="0"/>
      <w:marRight w:val="0"/>
      <w:marTop w:val="0"/>
      <w:marBottom w:val="0"/>
      <w:divBdr>
        <w:top w:val="none" w:sz="0" w:space="0" w:color="auto"/>
        <w:left w:val="none" w:sz="0" w:space="0" w:color="auto"/>
        <w:bottom w:val="none" w:sz="0" w:space="0" w:color="auto"/>
        <w:right w:val="none" w:sz="0" w:space="0" w:color="auto"/>
      </w:divBdr>
    </w:div>
    <w:div w:id="1170177688">
      <w:bodyDiv w:val="1"/>
      <w:marLeft w:val="0"/>
      <w:marRight w:val="0"/>
      <w:marTop w:val="0"/>
      <w:marBottom w:val="0"/>
      <w:divBdr>
        <w:top w:val="none" w:sz="0" w:space="0" w:color="auto"/>
        <w:left w:val="none" w:sz="0" w:space="0" w:color="auto"/>
        <w:bottom w:val="none" w:sz="0" w:space="0" w:color="auto"/>
        <w:right w:val="none" w:sz="0" w:space="0" w:color="auto"/>
      </w:divBdr>
    </w:div>
    <w:div w:id="1304038630">
      <w:bodyDiv w:val="1"/>
      <w:marLeft w:val="0"/>
      <w:marRight w:val="0"/>
      <w:marTop w:val="0"/>
      <w:marBottom w:val="0"/>
      <w:divBdr>
        <w:top w:val="none" w:sz="0" w:space="0" w:color="auto"/>
        <w:left w:val="none" w:sz="0" w:space="0" w:color="auto"/>
        <w:bottom w:val="none" w:sz="0" w:space="0" w:color="auto"/>
        <w:right w:val="none" w:sz="0" w:space="0" w:color="auto"/>
      </w:divBdr>
    </w:div>
    <w:div w:id="1323777101">
      <w:bodyDiv w:val="1"/>
      <w:marLeft w:val="0"/>
      <w:marRight w:val="0"/>
      <w:marTop w:val="0"/>
      <w:marBottom w:val="0"/>
      <w:divBdr>
        <w:top w:val="none" w:sz="0" w:space="0" w:color="auto"/>
        <w:left w:val="none" w:sz="0" w:space="0" w:color="auto"/>
        <w:bottom w:val="none" w:sz="0" w:space="0" w:color="auto"/>
        <w:right w:val="none" w:sz="0" w:space="0" w:color="auto"/>
      </w:divBdr>
      <w:divsChild>
        <w:div w:id="63556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202967">
      <w:bodyDiv w:val="1"/>
      <w:marLeft w:val="0"/>
      <w:marRight w:val="0"/>
      <w:marTop w:val="0"/>
      <w:marBottom w:val="0"/>
      <w:divBdr>
        <w:top w:val="none" w:sz="0" w:space="0" w:color="auto"/>
        <w:left w:val="none" w:sz="0" w:space="0" w:color="auto"/>
        <w:bottom w:val="none" w:sz="0" w:space="0" w:color="auto"/>
        <w:right w:val="none" w:sz="0" w:space="0" w:color="auto"/>
      </w:divBdr>
    </w:div>
    <w:div w:id="1383022501">
      <w:bodyDiv w:val="1"/>
      <w:marLeft w:val="0"/>
      <w:marRight w:val="0"/>
      <w:marTop w:val="0"/>
      <w:marBottom w:val="0"/>
      <w:divBdr>
        <w:top w:val="none" w:sz="0" w:space="0" w:color="auto"/>
        <w:left w:val="none" w:sz="0" w:space="0" w:color="auto"/>
        <w:bottom w:val="none" w:sz="0" w:space="0" w:color="auto"/>
        <w:right w:val="none" w:sz="0" w:space="0" w:color="auto"/>
      </w:divBdr>
    </w:div>
    <w:div w:id="1385833011">
      <w:bodyDiv w:val="1"/>
      <w:marLeft w:val="0"/>
      <w:marRight w:val="0"/>
      <w:marTop w:val="0"/>
      <w:marBottom w:val="0"/>
      <w:divBdr>
        <w:top w:val="none" w:sz="0" w:space="0" w:color="auto"/>
        <w:left w:val="none" w:sz="0" w:space="0" w:color="auto"/>
        <w:bottom w:val="none" w:sz="0" w:space="0" w:color="auto"/>
        <w:right w:val="none" w:sz="0" w:space="0" w:color="auto"/>
      </w:divBdr>
    </w:div>
    <w:div w:id="1403675297">
      <w:bodyDiv w:val="1"/>
      <w:marLeft w:val="0"/>
      <w:marRight w:val="0"/>
      <w:marTop w:val="0"/>
      <w:marBottom w:val="0"/>
      <w:divBdr>
        <w:top w:val="none" w:sz="0" w:space="0" w:color="auto"/>
        <w:left w:val="none" w:sz="0" w:space="0" w:color="auto"/>
        <w:bottom w:val="none" w:sz="0" w:space="0" w:color="auto"/>
        <w:right w:val="none" w:sz="0" w:space="0" w:color="auto"/>
      </w:divBdr>
    </w:div>
    <w:div w:id="1431856932">
      <w:bodyDiv w:val="1"/>
      <w:marLeft w:val="0"/>
      <w:marRight w:val="0"/>
      <w:marTop w:val="0"/>
      <w:marBottom w:val="0"/>
      <w:divBdr>
        <w:top w:val="none" w:sz="0" w:space="0" w:color="auto"/>
        <w:left w:val="none" w:sz="0" w:space="0" w:color="auto"/>
        <w:bottom w:val="none" w:sz="0" w:space="0" w:color="auto"/>
        <w:right w:val="none" w:sz="0" w:space="0" w:color="auto"/>
      </w:divBdr>
    </w:div>
    <w:div w:id="1533954064">
      <w:bodyDiv w:val="1"/>
      <w:marLeft w:val="0"/>
      <w:marRight w:val="0"/>
      <w:marTop w:val="0"/>
      <w:marBottom w:val="0"/>
      <w:divBdr>
        <w:top w:val="none" w:sz="0" w:space="0" w:color="auto"/>
        <w:left w:val="none" w:sz="0" w:space="0" w:color="auto"/>
        <w:bottom w:val="none" w:sz="0" w:space="0" w:color="auto"/>
        <w:right w:val="none" w:sz="0" w:space="0" w:color="auto"/>
      </w:divBdr>
    </w:div>
    <w:div w:id="1536234176">
      <w:bodyDiv w:val="1"/>
      <w:marLeft w:val="0"/>
      <w:marRight w:val="0"/>
      <w:marTop w:val="0"/>
      <w:marBottom w:val="0"/>
      <w:divBdr>
        <w:top w:val="none" w:sz="0" w:space="0" w:color="auto"/>
        <w:left w:val="none" w:sz="0" w:space="0" w:color="auto"/>
        <w:bottom w:val="none" w:sz="0" w:space="0" w:color="auto"/>
        <w:right w:val="none" w:sz="0" w:space="0" w:color="auto"/>
      </w:divBdr>
    </w:div>
    <w:div w:id="1617520478">
      <w:bodyDiv w:val="1"/>
      <w:marLeft w:val="0"/>
      <w:marRight w:val="0"/>
      <w:marTop w:val="0"/>
      <w:marBottom w:val="0"/>
      <w:divBdr>
        <w:top w:val="none" w:sz="0" w:space="0" w:color="auto"/>
        <w:left w:val="none" w:sz="0" w:space="0" w:color="auto"/>
        <w:bottom w:val="none" w:sz="0" w:space="0" w:color="auto"/>
        <w:right w:val="none" w:sz="0" w:space="0" w:color="auto"/>
      </w:divBdr>
    </w:div>
    <w:div w:id="1650206954">
      <w:bodyDiv w:val="1"/>
      <w:marLeft w:val="0"/>
      <w:marRight w:val="0"/>
      <w:marTop w:val="0"/>
      <w:marBottom w:val="0"/>
      <w:divBdr>
        <w:top w:val="none" w:sz="0" w:space="0" w:color="auto"/>
        <w:left w:val="none" w:sz="0" w:space="0" w:color="auto"/>
        <w:bottom w:val="none" w:sz="0" w:space="0" w:color="auto"/>
        <w:right w:val="none" w:sz="0" w:space="0" w:color="auto"/>
      </w:divBdr>
    </w:div>
    <w:div w:id="1653026411">
      <w:bodyDiv w:val="1"/>
      <w:marLeft w:val="0"/>
      <w:marRight w:val="0"/>
      <w:marTop w:val="0"/>
      <w:marBottom w:val="0"/>
      <w:divBdr>
        <w:top w:val="none" w:sz="0" w:space="0" w:color="auto"/>
        <w:left w:val="none" w:sz="0" w:space="0" w:color="auto"/>
        <w:bottom w:val="none" w:sz="0" w:space="0" w:color="auto"/>
        <w:right w:val="none" w:sz="0" w:space="0" w:color="auto"/>
      </w:divBdr>
    </w:div>
    <w:div w:id="1663384737">
      <w:bodyDiv w:val="1"/>
      <w:marLeft w:val="0"/>
      <w:marRight w:val="0"/>
      <w:marTop w:val="0"/>
      <w:marBottom w:val="0"/>
      <w:divBdr>
        <w:top w:val="none" w:sz="0" w:space="0" w:color="auto"/>
        <w:left w:val="none" w:sz="0" w:space="0" w:color="auto"/>
        <w:bottom w:val="none" w:sz="0" w:space="0" w:color="auto"/>
        <w:right w:val="none" w:sz="0" w:space="0" w:color="auto"/>
      </w:divBdr>
    </w:div>
    <w:div w:id="1665353797">
      <w:bodyDiv w:val="1"/>
      <w:marLeft w:val="0"/>
      <w:marRight w:val="0"/>
      <w:marTop w:val="0"/>
      <w:marBottom w:val="0"/>
      <w:divBdr>
        <w:top w:val="none" w:sz="0" w:space="0" w:color="auto"/>
        <w:left w:val="none" w:sz="0" w:space="0" w:color="auto"/>
        <w:bottom w:val="none" w:sz="0" w:space="0" w:color="auto"/>
        <w:right w:val="none" w:sz="0" w:space="0" w:color="auto"/>
      </w:divBdr>
    </w:div>
    <w:div w:id="1666546735">
      <w:bodyDiv w:val="1"/>
      <w:marLeft w:val="0"/>
      <w:marRight w:val="0"/>
      <w:marTop w:val="0"/>
      <w:marBottom w:val="0"/>
      <w:divBdr>
        <w:top w:val="none" w:sz="0" w:space="0" w:color="auto"/>
        <w:left w:val="none" w:sz="0" w:space="0" w:color="auto"/>
        <w:bottom w:val="none" w:sz="0" w:space="0" w:color="auto"/>
        <w:right w:val="none" w:sz="0" w:space="0" w:color="auto"/>
      </w:divBdr>
    </w:div>
    <w:div w:id="1738357885">
      <w:bodyDiv w:val="1"/>
      <w:marLeft w:val="0"/>
      <w:marRight w:val="0"/>
      <w:marTop w:val="0"/>
      <w:marBottom w:val="0"/>
      <w:divBdr>
        <w:top w:val="none" w:sz="0" w:space="0" w:color="auto"/>
        <w:left w:val="none" w:sz="0" w:space="0" w:color="auto"/>
        <w:bottom w:val="none" w:sz="0" w:space="0" w:color="auto"/>
        <w:right w:val="none" w:sz="0" w:space="0" w:color="auto"/>
      </w:divBdr>
    </w:div>
    <w:div w:id="1750469066">
      <w:bodyDiv w:val="1"/>
      <w:marLeft w:val="0"/>
      <w:marRight w:val="0"/>
      <w:marTop w:val="0"/>
      <w:marBottom w:val="0"/>
      <w:divBdr>
        <w:top w:val="none" w:sz="0" w:space="0" w:color="auto"/>
        <w:left w:val="none" w:sz="0" w:space="0" w:color="auto"/>
        <w:bottom w:val="none" w:sz="0" w:space="0" w:color="auto"/>
        <w:right w:val="none" w:sz="0" w:space="0" w:color="auto"/>
      </w:divBdr>
    </w:div>
    <w:div w:id="1755518366">
      <w:bodyDiv w:val="1"/>
      <w:marLeft w:val="0"/>
      <w:marRight w:val="0"/>
      <w:marTop w:val="0"/>
      <w:marBottom w:val="0"/>
      <w:divBdr>
        <w:top w:val="none" w:sz="0" w:space="0" w:color="auto"/>
        <w:left w:val="none" w:sz="0" w:space="0" w:color="auto"/>
        <w:bottom w:val="none" w:sz="0" w:space="0" w:color="auto"/>
        <w:right w:val="none" w:sz="0" w:space="0" w:color="auto"/>
      </w:divBdr>
    </w:div>
    <w:div w:id="1764033454">
      <w:bodyDiv w:val="1"/>
      <w:marLeft w:val="0"/>
      <w:marRight w:val="0"/>
      <w:marTop w:val="0"/>
      <w:marBottom w:val="0"/>
      <w:divBdr>
        <w:top w:val="none" w:sz="0" w:space="0" w:color="auto"/>
        <w:left w:val="none" w:sz="0" w:space="0" w:color="auto"/>
        <w:bottom w:val="none" w:sz="0" w:space="0" w:color="auto"/>
        <w:right w:val="none" w:sz="0" w:space="0" w:color="auto"/>
      </w:divBdr>
    </w:div>
    <w:div w:id="1770664784">
      <w:bodyDiv w:val="1"/>
      <w:marLeft w:val="0"/>
      <w:marRight w:val="0"/>
      <w:marTop w:val="0"/>
      <w:marBottom w:val="0"/>
      <w:divBdr>
        <w:top w:val="none" w:sz="0" w:space="0" w:color="auto"/>
        <w:left w:val="none" w:sz="0" w:space="0" w:color="auto"/>
        <w:bottom w:val="none" w:sz="0" w:space="0" w:color="auto"/>
        <w:right w:val="none" w:sz="0" w:space="0" w:color="auto"/>
      </w:divBdr>
    </w:div>
    <w:div w:id="1787039710">
      <w:bodyDiv w:val="1"/>
      <w:marLeft w:val="0"/>
      <w:marRight w:val="0"/>
      <w:marTop w:val="0"/>
      <w:marBottom w:val="0"/>
      <w:divBdr>
        <w:top w:val="none" w:sz="0" w:space="0" w:color="auto"/>
        <w:left w:val="none" w:sz="0" w:space="0" w:color="auto"/>
        <w:bottom w:val="none" w:sz="0" w:space="0" w:color="auto"/>
        <w:right w:val="none" w:sz="0" w:space="0" w:color="auto"/>
      </w:divBdr>
    </w:div>
    <w:div w:id="1811315024">
      <w:bodyDiv w:val="1"/>
      <w:marLeft w:val="0"/>
      <w:marRight w:val="0"/>
      <w:marTop w:val="0"/>
      <w:marBottom w:val="0"/>
      <w:divBdr>
        <w:top w:val="none" w:sz="0" w:space="0" w:color="auto"/>
        <w:left w:val="none" w:sz="0" w:space="0" w:color="auto"/>
        <w:bottom w:val="none" w:sz="0" w:space="0" w:color="auto"/>
        <w:right w:val="none" w:sz="0" w:space="0" w:color="auto"/>
      </w:divBdr>
    </w:div>
    <w:div w:id="1817063683">
      <w:bodyDiv w:val="1"/>
      <w:marLeft w:val="0"/>
      <w:marRight w:val="0"/>
      <w:marTop w:val="0"/>
      <w:marBottom w:val="0"/>
      <w:divBdr>
        <w:top w:val="none" w:sz="0" w:space="0" w:color="auto"/>
        <w:left w:val="none" w:sz="0" w:space="0" w:color="auto"/>
        <w:bottom w:val="none" w:sz="0" w:space="0" w:color="auto"/>
        <w:right w:val="none" w:sz="0" w:space="0" w:color="auto"/>
      </w:divBdr>
    </w:div>
    <w:div w:id="1876231080">
      <w:bodyDiv w:val="1"/>
      <w:marLeft w:val="0"/>
      <w:marRight w:val="0"/>
      <w:marTop w:val="0"/>
      <w:marBottom w:val="0"/>
      <w:divBdr>
        <w:top w:val="none" w:sz="0" w:space="0" w:color="auto"/>
        <w:left w:val="none" w:sz="0" w:space="0" w:color="auto"/>
        <w:bottom w:val="none" w:sz="0" w:space="0" w:color="auto"/>
        <w:right w:val="none" w:sz="0" w:space="0" w:color="auto"/>
      </w:divBdr>
    </w:div>
    <w:div w:id="1894151998">
      <w:bodyDiv w:val="1"/>
      <w:marLeft w:val="0"/>
      <w:marRight w:val="0"/>
      <w:marTop w:val="0"/>
      <w:marBottom w:val="0"/>
      <w:divBdr>
        <w:top w:val="none" w:sz="0" w:space="0" w:color="auto"/>
        <w:left w:val="none" w:sz="0" w:space="0" w:color="auto"/>
        <w:bottom w:val="none" w:sz="0" w:space="0" w:color="auto"/>
        <w:right w:val="none" w:sz="0" w:space="0" w:color="auto"/>
      </w:divBdr>
    </w:div>
    <w:div w:id="1911033922">
      <w:bodyDiv w:val="1"/>
      <w:marLeft w:val="0"/>
      <w:marRight w:val="0"/>
      <w:marTop w:val="0"/>
      <w:marBottom w:val="0"/>
      <w:divBdr>
        <w:top w:val="none" w:sz="0" w:space="0" w:color="auto"/>
        <w:left w:val="none" w:sz="0" w:space="0" w:color="auto"/>
        <w:bottom w:val="none" w:sz="0" w:space="0" w:color="auto"/>
        <w:right w:val="none" w:sz="0" w:space="0" w:color="auto"/>
      </w:divBdr>
    </w:div>
    <w:div w:id="1912500494">
      <w:bodyDiv w:val="1"/>
      <w:marLeft w:val="0"/>
      <w:marRight w:val="0"/>
      <w:marTop w:val="0"/>
      <w:marBottom w:val="0"/>
      <w:divBdr>
        <w:top w:val="none" w:sz="0" w:space="0" w:color="auto"/>
        <w:left w:val="none" w:sz="0" w:space="0" w:color="auto"/>
        <w:bottom w:val="none" w:sz="0" w:space="0" w:color="auto"/>
        <w:right w:val="none" w:sz="0" w:space="0" w:color="auto"/>
      </w:divBdr>
    </w:div>
    <w:div w:id="1914461829">
      <w:bodyDiv w:val="1"/>
      <w:marLeft w:val="0"/>
      <w:marRight w:val="0"/>
      <w:marTop w:val="0"/>
      <w:marBottom w:val="0"/>
      <w:divBdr>
        <w:top w:val="none" w:sz="0" w:space="0" w:color="auto"/>
        <w:left w:val="none" w:sz="0" w:space="0" w:color="auto"/>
        <w:bottom w:val="none" w:sz="0" w:space="0" w:color="auto"/>
        <w:right w:val="none" w:sz="0" w:space="0" w:color="auto"/>
      </w:divBdr>
    </w:div>
    <w:div w:id="1943105380">
      <w:bodyDiv w:val="1"/>
      <w:marLeft w:val="0"/>
      <w:marRight w:val="0"/>
      <w:marTop w:val="0"/>
      <w:marBottom w:val="0"/>
      <w:divBdr>
        <w:top w:val="none" w:sz="0" w:space="0" w:color="auto"/>
        <w:left w:val="none" w:sz="0" w:space="0" w:color="auto"/>
        <w:bottom w:val="none" w:sz="0" w:space="0" w:color="auto"/>
        <w:right w:val="none" w:sz="0" w:space="0" w:color="auto"/>
      </w:divBdr>
    </w:div>
    <w:div w:id="1950969063">
      <w:bodyDiv w:val="1"/>
      <w:marLeft w:val="0"/>
      <w:marRight w:val="0"/>
      <w:marTop w:val="0"/>
      <w:marBottom w:val="0"/>
      <w:divBdr>
        <w:top w:val="none" w:sz="0" w:space="0" w:color="auto"/>
        <w:left w:val="none" w:sz="0" w:space="0" w:color="auto"/>
        <w:bottom w:val="none" w:sz="0" w:space="0" w:color="auto"/>
        <w:right w:val="none" w:sz="0" w:space="0" w:color="auto"/>
      </w:divBdr>
    </w:div>
    <w:div w:id="2000688325">
      <w:bodyDiv w:val="1"/>
      <w:marLeft w:val="0"/>
      <w:marRight w:val="0"/>
      <w:marTop w:val="0"/>
      <w:marBottom w:val="0"/>
      <w:divBdr>
        <w:top w:val="none" w:sz="0" w:space="0" w:color="auto"/>
        <w:left w:val="none" w:sz="0" w:space="0" w:color="auto"/>
        <w:bottom w:val="none" w:sz="0" w:space="0" w:color="auto"/>
        <w:right w:val="none" w:sz="0" w:space="0" w:color="auto"/>
      </w:divBdr>
    </w:div>
    <w:div w:id="2012220871">
      <w:bodyDiv w:val="1"/>
      <w:marLeft w:val="0"/>
      <w:marRight w:val="0"/>
      <w:marTop w:val="0"/>
      <w:marBottom w:val="0"/>
      <w:divBdr>
        <w:top w:val="none" w:sz="0" w:space="0" w:color="auto"/>
        <w:left w:val="none" w:sz="0" w:space="0" w:color="auto"/>
        <w:bottom w:val="none" w:sz="0" w:space="0" w:color="auto"/>
        <w:right w:val="none" w:sz="0" w:space="0" w:color="auto"/>
      </w:divBdr>
    </w:div>
    <w:div w:id="2048941630">
      <w:bodyDiv w:val="1"/>
      <w:marLeft w:val="0"/>
      <w:marRight w:val="0"/>
      <w:marTop w:val="0"/>
      <w:marBottom w:val="0"/>
      <w:divBdr>
        <w:top w:val="none" w:sz="0" w:space="0" w:color="auto"/>
        <w:left w:val="none" w:sz="0" w:space="0" w:color="auto"/>
        <w:bottom w:val="none" w:sz="0" w:space="0" w:color="auto"/>
        <w:right w:val="none" w:sz="0" w:space="0" w:color="auto"/>
      </w:divBdr>
    </w:div>
    <w:div w:id="2060275847">
      <w:bodyDiv w:val="1"/>
      <w:marLeft w:val="0"/>
      <w:marRight w:val="0"/>
      <w:marTop w:val="0"/>
      <w:marBottom w:val="0"/>
      <w:divBdr>
        <w:top w:val="none" w:sz="0" w:space="0" w:color="auto"/>
        <w:left w:val="none" w:sz="0" w:space="0" w:color="auto"/>
        <w:bottom w:val="none" w:sz="0" w:space="0" w:color="auto"/>
        <w:right w:val="none" w:sz="0" w:space="0" w:color="auto"/>
      </w:divBdr>
    </w:div>
    <w:div w:id="209219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asing.org.p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witter.com/ZwiazekLeasing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image" Target="media/image1.jp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company/zwiazek-polskiego-leasingu-zpl/"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d="http://www.w3.org/2001/XMLSchema" xmlns:xsi="http://www.w3.org/2001/XMLSchema-instance" xmlns="http://www.boldonjames.com/2008/01/sie/internal/label" sislVersion="0" policy="b01618b0-e416-44c4-bdda-3d6530717e38" origin="userSelected">
  <element uid="f9b62fce-670f-4368-8ce5-16e68107b48c" value=""/>
</sisl>
</file>

<file path=customXml/item2.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tcW56NG1YS3Noalp5WUhDODVaZmFsbWJBTm1FbWlHRjwvZWxoPjxjb25maWc+RUZMPC9jb25maWc+PHBvbD5QTDE8L3BvbD48c3VtbWFyeT5QdWJsaWN6bmUgKEMwKT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CYWYBu5iO5K+ZDtcpHzfG8h8A2jjyIOYNa+hlv2Qcyo=</DigestValue>
      </Reference>
      <Reference URI="#INFO">
        <DigestMethod Algorithm="http://www.w3.org/2001/04/xmlenc#sha256"/>
        <DigestValue>SCxFn4z8ETHCHERt3GzlazapcSX/YDuqbv+fYphZ3bs=</DigestValue>
      </Reference>
    </SignedInfo>
    <SignatureValue>h7AmyItLs3apiW7NLt9Gacd608PaXXgCoezRSadLRNycwg6/W7rof+gPwsm15eyz28f25vNZmorqno1ZlAXZfw==</SignatureValue>
    <Object Id="INFO">
      <ArrayOfString xmlns:xsd="http://www.w3.org/2001/XMLSchema" xmlns:xsi="http://www.w3.org/2001/XMLSchema-instance" xmlns="">
        <string>mqnz4mXKshjZyYHC85ZfalmbANmEmiGF</string>
      </ArrayOfString>
    </Object>
  </Signature>
</WrappedLabelInfo>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F266B-F30D-4CD9-95DB-A89FE7AF0273}">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473EDDAF-98FD-4402-8155-06BFCC1120F0}">
  <ds:schemaRefs>
    <ds:schemaRef ds:uri="http://www.w3.org/2001/XMLSchema"/>
    <ds:schemaRef ds:uri="http://www.boldonjames.com/2016/02/Classifier/internal/wrappedLabelInfo"/>
    <ds:schemaRef ds:uri="http://www.w3.org/2000/09/xmldsig#"/>
    <ds:schemaRef ds:uri=""/>
  </ds:schemaRefs>
</ds:datastoreItem>
</file>

<file path=customXml/itemProps3.xml><?xml version="1.0" encoding="utf-8"?>
<ds:datastoreItem xmlns:ds="http://schemas.openxmlformats.org/officeDocument/2006/customXml" ds:itemID="{099B1017-2B57-40FD-B82A-F5E13BB71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1387</Words>
  <Characters>8324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Urszula.Pietraszek</dc:creator>
  <cp:keywords/>
  <dc:description/>
  <cp:lastModifiedBy>Katarzyna Ostrowska</cp:lastModifiedBy>
  <cp:revision>14</cp:revision>
  <cp:lastPrinted>2026-08-05T11:26:00Z</cp:lastPrinted>
  <dcterms:created xsi:type="dcterms:W3CDTF">2026-08-04T10:52:00Z</dcterms:created>
  <dcterms:modified xsi:type="dcterms:W3CDTF">2026-08-05T11:38:00Z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f1cd2a70-9866-4c53-b159-9e92faad8c22</vt:lpwstr>
  </property>
  <property fmtid="{D5CDD505-2E9C-101B-9397-08002B2CF9AE}" pid="3" name="bjSaver">
    <vt:lpwstr>bDXaITgqOJDmJMaoqiRkQmeQSfQ8F/0u</vt:lpwstr>
  </property>
  <property fmtid="{D5CDD505-2E9C-101B-9397-08002B2CF9AE}" pid="4" name="bjDocumentLabelXML">
    <vt:lpwstr>&lt;?xml version="1.0" encoding="us-ascii"?&gt;&lt;sisl xmlns:xsd="http://www.w3.org/2001/XMLSchema" xmlns:xsi="http://www.w3.org/2001/XMLSchema-instance" sislVersion="0" policy="b01618b0-e416-44c4-bdda-3d6530717e38" origin="userSelected" xmlns="http://www.boldonj</vt:lpwstr>
  </property>
  <property fmtid="{D5CDD505-2E9C-101B-9397-08002B2CF9AE}" pid="5" name="bjDocumentLabelXML-0">
    <vt:lpwstr>ames.com/2008/01/sie/internal/label"&gt;&lt;element uid="f9b62fce-670f-4368-8ce5-16e68107b48c" value="" /&gt;&lt;/sisl&gt;</vt:lpwstr>
  </property>
  <property fmtid="{D5CDD505-2E9C-101B-9397-08002B2CF9AE}" pid="6" name="bjDocumentSecurityLabel">
    <vt:lpwstr>Klasyfikacja: Publiczne / Public (C0)</vt:lpwstr>
  </property>
  <property fmtid="{D5CDD505-2E9C-101B-9397-08002B2CF9AE}" pid="7" name="bjClsUserRVM">
    <vt:lpwstr>[]</vt:lpwstr>
  </property>
  <property fmtid="{D5CDD505-2E9C-101B-9397-08002B2CF9AE}" pid="8" name="bjpmDocIH">
    <vt:lpwstr>nDinZHq97eGifm0GHPEfvaPXhYSfxCWp</vt:lpwstr>
  </property>
</Properties>
</file>