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43181" w14:textId="001EFB4F" w:rsidR="005E6FF1" w:rsidRPr="003120D4" w:rsidRDefault="00133576" w:rsidP="00EA7001">
      <w:pPr>
        <w:pStyle w:val="Tekstpodstawowy"/>
        <w:spacing w:line="360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156F9A47" w14:textId="528DDEE5" w:rsidR="00545346" w:rsidRDefault="00F26827" w:rsidP="00F26827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  <w:r w:rsidRPr="00F26827">
        <w:rPr>
          <w:rFonts w:cstheme="minorHAnsi"/>
          <w:b/>
          <w:bCs/>
          <w:color w:val="0070C0"/>
          <w:sz w:val="32"/>
          <w:szCs w:val="32"/>
        </w:rPr>
        <w:t>Leasing wygrywa z kredytem w oczach przedsiębiorców</w:t>
      </w:r>
    </w:p>
    <w:p w14:paraId="2C322DB3" w14:textId="77777777" w:rsidR="0092588F" w:rsidRPr="00F26827" w:rsidRDefault="0092588F" w:rsidP="00F26827">
      <w:pPr>
        <w:spacing w:line="360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39BB4651" w14:textId="44AA3FCA" w:rsidR="00545346" w:rsidRPr="00545346" w:rsidRDefault="00545346" w:rsidP="00545346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libri" w:hAnsi="Calibri" w:cs="Calibri"/>
          <w:b/>
          <w:bCs/>
        </w:rPr>
      </w:pPr>
      <w:r w:rsidRPr="00545346">
        <w:rPr>
          <w:rFonts w:ascii="Calibri" w:hAnsi="Calibri" w:cs="Calibri"/>
          <w:b/>
          <w:bCs/>
        </w:rPr>
        <w:t>Połowa firm MŚP ma doświadczenie z leasingiem</w:t>
      </w:r>
    </w:p>
    <w:p w14:paraId="4068F298" w14:textId="77777777" w:rsidR="009A5EDC" w:rsidRDefault="00545346" w:rsidP="00545346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libri" w:hAnsi="Calibri" w:cs="Calibri"/>
          <w:b/>
          <w:bCs/>
        </w:rPr>
      </w:pPr>
      <w:r w:rsidRPr="00545346">
        <w:rPr>
          <w:rFonts w:ascii="Calibri" w:hAnsi="Calibri" w:cs="Calibri"/>
          <w:b/>
          <w:bCs/>
        </w:rPr>
        <w:t>84 proc. leasingobiorców poleciłoby leasing innym przedsiębiorcom</w:t>
      </w:r>
    </w:p>
    <w:p w14:paraId="37541099" w14:textId="79C2C769" w:rsidR="00545346" w:rsidRDefault="00545346" w:rsidP="00545346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libri" w:hAnsi="Calibri" w:cs="Calibri"/>
          <w:b/>
          <w:bCs/>
        </w:rPr>
      </w:pPr>
      <w:r w:rsidRPr="00545346">
        <w:rPr>
          <w:rFonts w:ascii="Calibri" w:hAnsi="Calibri" w:cs="Calibri"/>
          <w:b/>
          <w:bCs/>
        </w:rPr>
        <w:t>Ponad połowa użytkowników leasingu uważa go za jedyną realną formę finansowania inwestycji poza własnymi</w:t>
      </w:r>
      <w:r w:rsidR="001C109B">
        <w:rPr>
          <w:rFonts w:ascii="Calibri" w:hAnsi="Calibri" w:cs="Calibri"/>
          <w:b/>
          <w:bCs/>
        </w:rPr>
        <w:t xml:space="preserve"> pieniędzmi</w:t>
      </w:r>
    </w:p>
    <w:p w14:paraId="60857561" w14:textId="0CF53DE4" w:rsidR="00545346" w:rsidRPr="00545346" w:rsidRDefault="00545346" w:rsidP="00545346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libri" w:hAnsi="Calibri" w:cs="Calibri"/>
          <w:b/>
          <w:bCs/>
        </w:rPr>
      </w:pPr>
      <w:r w:rsidRPr="00545346">
        <w:rPr>
          <w:rFonts w:ascii="Calibri" w:hAnsi="Calibri" w:cs="Calibri"/>
          <w:b/>
          <w:bCs/>
        </w:rPr>
        <w:t xml:space="preserve">Mimo zainteresowania </w:t>
      </w:r>
      <w:proofErr w:type="spellStart"/>
      <w:r w:rsidRPr="00545346">
        <w:rPr>
          <w:rFonts w:ascii="Calibri" w:hAnsi="Calibri" w:cs="Calibri"/>
          <w:b/>
          <w:bCs/>
        </w:rPr>
        <w:t>elektromobilnością</w:t>
      </w:r>
      <w:proofErr w:type="spellEnd"/>
      <w:r w:rsidRPr="00545346">
        <w:rPr>
          <w:rFonts w:ascii="Calibri" w:hAnsi="Calibri" w:cs="Calibri"/>
          <w:b/>
          <w:bCs/>
        </w:rPr>
        <w:t xml:space="preserve"> przedsiębiorcy nadal preferują pojazdy z napędami spalinowymi i hybrydowymi</w:t>
      </w:r>
    </w:p>
    <w:p w14:paraId="08260FF3" w14:textId="710E5E8B" w:rsidR="00946FD9" w:rsidRPr="007054A9" w:rsidRDefault="00545346" w:rsidP="007054A9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Calibri" w:hAnsi="Calibri" w:cs="Calibri"/>
          <w:b/>
          <w:bCs/>
        </w:rPr>
      </w:pPr>
      <w:r w:rsidRPr="00545346">
        <w:rPr>
          <w:rFonts w:ascii="Calibri" w:hAnsi="Calibri" w:cs="Calibri"/>
          <w:b/>
          <w:bCs/>
        </w:rPr>
        <w:t>Tylko 16 proc. przedsiębiorców planuje zakup samochodu elektrycznego w ciągu najbliższych trzech lat</w:t>
      </w:r>
    </w:p>
    <w:p w14:paraId="05A0E85C" w14:textId="114D204A" w:rsidR="00946FD9" w:rsidRPr="00946FD9" w:rsidRDefault="00946FD9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851589">
        <w:rPr>
          <w:rFonts w:ascii="Calibri" w:hAnsi="Calibri" w:cs="Calibri"/>
          <w:b/>
          <w:bCs/>
          <w:sz w:val="20"/>
          <w:szCs w:val="20"/>
        </w:rPr>
        <w:t xml:space="preserve">Warszawa, </w:t>
      </w:r>
      <w:r w:rsidR="00FB56EE" w:rsidRPr="00851589">
        <w:rPr>
          <w:rFonts w:ascii="Calibri" w:hAnsi="Calibri" w:cs="Calibri"/>
          <w:b/>
          <w:bCs/>
          <w:sz w:val="20"/>
          <w:szCs w:val="20"/>
        </w:rPr>
        <w:t>25</w:t>
      </w:r>
      <w:r w:rsidRPr="0085158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4F132C" w:rsidRPr="00851589">
        <w:rPr>
          <w:rFonts w:ascii="Calibri" w:hAnsi="Calibri" w:cs="Calibri"/>
          <w:b/>
          <w:bCs/>
          <w:sz w:val="20"/>
          <w:szCs w:val="20"/>
        </w:rPr>
        <w:t>sierpnia</w:t>
      </w:r>
      <w:r w:rsidRPr="00851589">
        <w:rPr>
          <w:rFonts w:ascii="Calibri" w:hAnsi="Calibri" w:cs="Calibri"/>
          <w:b/>
          <w:bCs/>
          <w:sz w:val="20"/>
          <w:szCs w:val="20"/>
        </w:rPr>
        <w:t xml:space="preserve"> 2026 r.</w:t>
      </w:r>
      <w:r w:rsidRPr="00FB56EE">
        <w:rPr>
          <w:rFonts w:ascii="Calibri" w:hAnsi="Calibri" w:cs="Calibri"/>
          <w:sz w:val="20"/>
          <w:szCs w:val="20"/>
        </w:rPr>
        <w:t xml:space="preserve"> – Leas</w:t>
      </w:r>
      <w:r w:rsidRPr="00946FD9">
        <w:rPr>
          <w:rFonts w:ascii="Calibri" w:hAnsi="Calibri" w:cs="Calibri"/>
          <w:sz w:val="20"/>
          <w:szCs w:val="20"/>
        </w:rPr>
        <w:t xml:space="preserve">ing pozostaje jednym z najważniejszych źródeł finansowania rozwoju polskich przedsiębiorstw. Już połowa mikro, małych i średnich firm korzysta lub korzystała z leasingu, a przedsiębiorcy zdecydowanie częściej wskazują go jako rozwiązanie bardziej elastyczne, tańsze, bezpieczniejsze i łatwiej dostępne niż kredyt bankowy. Jednocześnie utrzymuje się wysoka satysfakcja z tej formy finansowania oraz gotowość do jej rekomendowania. Takie wnioski płyną z </w:t>
      </w:r>
      <w:r w:rsidR="000D55C9">
        <w:rPr>
          <w:rFonts w:ascii="Calibri" w:hAnsi="Calibri" w:cs="Calibri"/>
          <w:sz w:val="20"/>
          <w:szCs w:val="20"/>
        </w:rPr>
        <w:t xml:space="preserve">cyklicznego </w:t>
      </w:r>
      <w:r w:rsidRPr="00946FD9">
        <w:rPr>
          <w:rFonts w:ascii="Calibri" w:hAnsi="Calibri" w:cs="Calibri"/>
          <w:sz w:val="20"/>
          <w:szCs w:val="20"/>
        </w:rPr>
        <w:t xml:space="preserve">badania SME Finance </w:t>
      </w:r>
      <w:proofErr w:type="spellStart"/>
      <w:r w:rsidRPr="00946FD9">
        <w:rPr>
          <w:rFonts w:ascii="Calibri" w:hAnsi="Calibri" w:cs="Calibri"/>
          <w:sz w:val="20"/>
          <w:szCs w:val="20"/>
        </w:rPr>
        <w:t>Track</w:t>
      </w:r>
      <w:proofErr w:type="spellEnd"/>
      <w:r w:rsidRPr="00946FD9">
        <w:rPr>
          <w:rFonts w:ascii="Calibri" w:hAnsi="Calibri" w:cs="Calibri"/>
          <w:sz w:val="20"/>
          <w:szCs w:val="20"/>
        </w:rPr>
        <w:t xml:space="preserve"> 2026, zrealizowanego przez Centrum Badań Marketingowych INDICATOR na zlecenie Związku Polskiego Leasingu.</w:t>
      </w:r>
    </w:p>
    <w:p w14:paraId="08FEC893" w14:textId="77777777" w:rsidR="00946FD9" w:rsidRDefault="00946FD9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 xml:space="preserve">– </w:t>
      </w:r>
      <w:r w:rsidRPr="009B26B2">
        <w:rPr>
          <w:rFonts w:ascii="Calibri" w:hAnsi="Calibri" w:cs="Calibri"/>
          <w:i/>
          <w:iCs/>
          <w:sz w:val="20"/>
          <w:szCs w:val="20"/>
        </w:rPr>
        <w:t>Leasing od lat wspiera inwestycje polskich przedsiębiorców, ale dziś widzimy coś więcej niż jego silną pozycję rynkową. Coraz większa grupa firm postrzega leasing jako rozwiązanie bardziej dostępne i lepiej dopasowane do potrzeb biznesu niż tradycyjny kredyt. To potwierdza, że przedsiębiorcy cenią nie tylko finansowanie, ale także szybkość, elastyczność i prostotę całego procesu</w:t>
      </w:r>
      <w:r w:rsidRPr="00946FD9">
        <w:rPr>
          <w:rFonts w:ascii="Calibri" w:hAnsi="Calibri" w:cs="Calibri"/>
          <w:sz w:val="20"/>
          <w:szCs w:val="20"/>
        </w:rPr>
        <w:t xml:space="preserve"> – mówi </w:t>
      </w:r>
      <w:r w:rsidRPr="009B26B2">
        <w:rPr>
          <w:rFonts w:ascii="Calibri" w:hAnsi="Calibri" w:cs="Calibri"/>
          <w:b/>
          <w:bCs/>
          <w:sz w:val="20"/>
          <w:szCs w:val="20"/>
        </w:rPr>
        <w:t>Monika Constant</w:t>
      </w:r>
      <w:r w:rsidRPr="00946FD9">
        <w:rPr>
          <w:rFonts w:ascii="Calibri" w:hAnsi="Calibri" w:cs="Calibri"/>
          <w:sz w:val="20"/>
          <w:szCs w:val="20"/>
        </w:rPr>
        <w:t>, prezeska Związku Polskiego Leasingu.</w:t>
      </w:r>
    </w:p>
    <w:p w14:paraId="728C7D81" w14:textId="67E54E40" w:rsidR="00F85121" w:rsidRDefault="00F85121" w:rsidP="00F85121">
      <w:pPr>
        <w:spacing w:line="360" w:lineRule="auto"/>
        <w:rPr>
          <w:rFonts w:ascii="Calibri" w:hAnsi="Calibri" w:cs="Calibri"/>
          <w:sz w:val="20"/>
          <w:szCs w:val="20"/>
        </w:rPr>
      </w:pPr>
      <w:r w:rsidRPr="00C87298">
        <w:rPr>
          <w:rFonts w:ascii="Calibri" w:hAnsi="Calibri" w:cs="Calibri"/>
        </w:rPr>
        <w:t xml:space="preserve">- </w:t>
      </w:r>
      <w:r w:rsidRPr="00F85121">
        <w:rPr>
          <w:rFonts w:ascii="Calibri" w:hAnsi="Calibri" w:cs="Calibri"/>
          <w:i/>
          <w:iCs/>
          <w:sz w:val="20"/>
          <w:szCs w:val="20"/>
        </w:rPr>
        <w:t xml:space="preserve">Leasing jest postrzegany przez przedsiębiorców jako  bardziej elastyczny, tańszy, bezpieczniejszy i bardziej dostępny dla przedsiębiorcy niż kredyt. Ponad jedna czwarta (26%) mikro, małych i średnich firm aktualnie korzysta z leasingu jako źródła finansowania działalności firmy, a dodatkowe 24% firm deklaruje takie doświadczenia w przeszłości – </w:t>
      </w:r>
      <w:r w:rsidRPr="00F85121">
        <w:rPr>
          <w:rFonts w:ascii="Calibri" w:hAnsi="Calibri" w:cs="Calibri"/>
          <w:sz w:val="20"/>
          <w:szCs w:val="20"/>
        </w:rPr>
        <w:t xml:space="preserve">mówi </w:t>
      </w:r>
      <w:r w:rsidRPr="00F85121">
        <w:rPr>
          <w:rFonts w:ascii="Calibri" w:hAnsi="Calibri" w:cs="Calibri"/>
          <w:b/>
          <w:bCs/>
          <w:sz w:val="20"/>
          <w:szCs w:val="20"/>
        </w:rPr>
        <w:t>Wojciech Terlikowski</w:t>
      </w:r>
      <w:r w:rsidRPr="00F85121">
        <w:rPr>
          <w:rFonts w:ascii="Calibri" w:hAnsi="Calibri" w:cs="Calibri"/>
          <w:sz w:val="20"/>
          <w:szCs w:val="20"/>
        </w:rPr>
        <w:t>, kierownik zespołu badawczego, CBM INDICATOR.</w:t>
      </w:r>
    </w:p>
    <w:p w14:paraId="192CA05C" w14:textId="76C22C99" w:rsidR="00884327" w:rsidRDefault="00884327" w:rsidP="00884327">
      <w:pPr>
        <w:spacing w:line="360" w:lineRule="auto"/>
        <w:rPr>
          <w:rFonts w:ascii="Calibri" w:hAnsi="Calibri" w:cs="Calibri"/>
          <w:sz w:val="20"/>
          <w:szCs w:val="20"/>
        </w:rPr>
      </w:pPr>
      <w:r w:rsidRPr="00884327">
        <w:rPr>
          <w:rFonts w:ascii="Calibri" w:hAnsi="Calibri" w:cs="Calibri"/>
          <w:sz w:val="20"/>
          <w:szCs w:val="20"/>
        </w:rPr>
        <w:lastRenderedPageBreak/>
        <w:t xml:space="preserve">W praktyce oznacza to, że poza </w:t>
      </w:r>
      <w:r>
        <w:rPr>
          <w:rFonts w:ascii="Calibri" w:hAnsi="Calibri" w:cs="Calibri"/>
          <w:sz w:val="20"/>
          <w:szCs w:val="20"/>
        </w:rPr>
        <w:t>gotówką</w:t>
      </w:r>
      <w:r w:rsidRPr="00884327">
        <w:rPr>
          <w:rFonts w:ascii="Calibri" w:hAnsi="Calibri" w:cs="Calibri"/>
          <w:sz w:val="20"/>
          <w:szCs w:val="20"/>
        </w:rPr>
        <w:t xml:space="preserve"> leasing i kredyt są dwoma najczęściej wykorzystywanymi przez MŚP źródłami finansowania – doświadczenie z kredytem ma 53 proc. firm, a z leasingiem 51 proc.</w:t>
      </w:r>
    </w:p>
    <w:p w14:paraId="5E14D1A0" w14:textId="43E4DD44" w:rsidR="00946FD9" w:rsidRPr="00B67EEC" w:rsidRDefault="00B67EEC" w:rsidP="00B67EEC">
      <w:pPr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4AAF433B" wp14:editId="5E476CCD">
            <wp:extent cx="5759450" cy="3009265"/>
            <wp:effectExtent l="0" t="0" r="0" b="635"/>
            <wp:docPr id="1339827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982713" name="Obraz 13398271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6FD9" w:rsidRPr="00560732">
        <w:rPr>
          <w:rFonts w:cstheme="minorHAnsi"/>
          <w:b/>
          <w:bCs/>
          <w:color w:val="0070C0"/>
          <w:sz w:val="22"/>
          <w:szCs w:val="22"/>
        </w:rPr>
        <w:t>Leasing wygrywa z kredytem</w:t>
      </w:r>
    </w:p>
    <w:p w14:paraId="5FBAD438" w14:textId="5CE4BFB8" w:rsidR="00946FD9" w:rsidRPr="00946FD9" w:rsidRDefault="00630500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B7DA2">
        <w:rPr>
          <w:rFonts w:ascii="Calibri" w:hAnsi="Calibri" w:cs="Calibri"/>
          <w:sz w:val="20"/>
          <w:szCs w:val="20"/>
        </w:rPr>
        <w:t>To kolejny rok, w którym leasing utrzymuje mocną pozycję wśród źródeł finansowania działalności przedsiębiorstw. Jednocześnie tegoroczne badanie pokazuje, że firmy korzystające z leasingu wysoko oceniają tę formę finansowania i wyraźnie dostrzegają jej przewagi nad kredytem bankowym.</w:t>
      </w:r>
      <w:r>
        <w:rPr>
          <w:rFonts w:ascii="Calibri" w:hAnsi="Calibri" w:cs="Calibri"/>
          <w:sz w:val="20"/>
          <w:szCs w:val="20"/>
        </w:rPr>
        <w:t xml:space="preserve"> </w:t>
      </w:r>
      <w:r w:rsidR="00946FD9" w:rsidRPr="00946FD9">
        <w:rPr>
          <w:rFonts w:ascii="Calibri" w:hAnsi="Calibri" w:cs="Calibri"/>
          <w:sz w:val="20"/>
          <w:szCs w:val="20"/>
        </w:rPr>
        <w:t>Przedsiębiorcy korzystający z leasingu zdecydowanie częściej wskazują go jako rozwiązanie korzystniejsze od kredytu bankowego.</w:t>
      </w:r>
    </w:p>
    <w:p w14:paraId="1D6C542B" w14:textId="77777777" w:rsidR="00946FD9" w:rsidRPr="00946FD9" w:rsidRDefault="00946FD9" w:rsidP="00946FD9">
      <w:pPr>
        <w:numPr>
          <w:ilvl w:val="0"/>
          <w:numId w:val="38"/>
        </w:num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>56 proc. uważa leasing za tańszy,</w:t>
      </w:r>
    </w:p>
    <w:p w14:paraId="5FE5B7B5" w14:textId="77777777" w:rsidR="00946FD9" w:rsidRPr="00946FD9" w:rsidRDefault="00946FD9" w:rsidP="00946FD9">
      <w:pPr>
        <w:numPr>
          <w:ilvl w:val="0"/>
          <w:numId w:val="38"/>
        </w:num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>56 proc. za łatwiej dostępny,</w:t>
      </w:r>
    </w:p>
    <w:p w14:paraId="0AC57C8A" w14:textId="77777777" w:rsidR="00946FD9" w:rsidRPr="00946FD9" w:rsidRDefault="00946FD9" w:rsidP="00946FD9">
      <w:pPr>
        <w:numPr>
          <w:ilvl w:val="0"/>
          <w:numId w:val="38"/>
        </w:num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>53 proc. za bardziej elastyczny,</w:t>
      </w:r>
    </w:p>
    <w:p w14:paraId="55476F2E" w14:textId="77777777" w:rsidR="00946FD9" w:rsidRPr="00946FD9" w:rsidRDefault="00946FD9" w:rsidP="00946FD9">
      <w:pPr>
        <w:numPr>
          <w:ilvl w:val="0"/>
          <w:numId w:val="38"/>
        </w:num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>50 proc. za bezpieczniejszy.</w:t>
      </w:r>
    </w:p>
    <w:p w14:paraId="7E2FCD00" w14:textId="40EA3B35" w:rsidR="00BE3D27" w:rsidRDefault="00BE3D27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BE3D27">
        <w:rPr>
          <w:rFonts w:ascii="Calibri" w:hAnsi="Calibri" w:cs="Calibri"/>
          <w:sz w:val="20"/>
          <w:szCs w:val="20"/>
        </w:rPr>
        <w:t xml:space="preserve">Przewagi leasingu jeszcze wyraźniej dostrzegają firmy, które aktualnie z niego korzystają. 63 proc. z nich uważa leasing za bardziej elastyczny niż kredyt i tyle samo za tańszy. Blisko sześciu na dziesięciu aktualnych </w:t>
      </w:r>
      <w:r w:rsidRPr="00BE3D27">
        <w:rPr>
          <w:rFonts w:ascii="Calibri" w:hAnsi="Calibri" w:cs="Calibri"/>
          <w:sz w:val="20"/>
          <w:szCs w:val="20"/>
        </w:rPr>
        <w:lastRenderedPageBreak/>
        <w:t>leasingobiorców ocenia go również jako bezpieczniejszy.</w:t>
      </w:r>
      <w:r w:rsidR="00F93CD6">
        <w:rPr>
          <w:rFonts w:ascii="Calibri" w:hAnsi="Calibri" w:cs="Calibri"/>
          <w:sz w:val="20"/>
          <w:szCs w:val="20"/>
        </w:rPr>
        <w:t xml:space="preserve"> </w:t>
      </w:r>
      <w:r w:rsidR="00F93CD6" w:rsidRPr="00F93CD6">
        <w:rPr>
          <w:rFonts w:ascii="Calibri" w:hAnsi="Calibri" w:cs="Calibri"/>
          <w:sz w:val="20"/>
          <w:szCs w:val="20"/>
        </w:rPr>
        <w:t>To potwierdza, że leasing jest postrzegany nie tylko jako sposób finansowania inwestycji, ale również jako narzędzie ułatwiające prowadzenie działalności gospodarczej.</w:t>
      </w:r>
    </w:p>
    <w:p w14:paraId="6600780F" w14:textId="731EEB5E" w:rsidR="00946FD9" w:rsidRPr="00B67EEC" w:rsidRDefault="00B67EEC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5D2427E1" wp14:editId="4266CB60">
            <wp:extent cx="5759450" cy="3009265"/>
            <wp:effectExtent l="0" t="0" r="0" b="635"/>
            <wp:docPr id="180611265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112655" name="Obraz 180611265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6FD9" w:rsidRPr="00560732">
        <w:rPr>
          <w:rFonts w:cstheme="minorHAnsi"/>
          <w:b/>
          <w:bCs/>
          <w:color w:val="0070C0"/>
          <w:sz w:val="22"/>
          <w:szCs w:val="22"/>
        </w:rPr>
        <w:t>Liczy się nie tylko cena</w:t>
      </w:r>
    </w:p>
    <w:p w14:paraId="3B0AD3E8" w14:textId="1A522BCE" w:rsidR="00946FD9" w:rsidRPr="00946FD9" w:rsidRDefault="00946FD9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 xml:space="preserve">Choć oferta cenowa pozostaje najważniejszym kryterium wyboru leasingu (84 proc. wskazań), przedsiębiorcy coraz większą wagę przywiązują także do </w:t>
      </w:r>
      <w:r w:rsidR="00D3328D" w:rsidRPr="00D3328D">
        <w:rPr>
          <w:rFonts w:ascii="Calibri" w:hAnsi="Calibri" w:cs="Calibri"/>
          <w:sz w:val="20"/>
          <w:szCs w:val="20"/>
        </w:rPr>
        <w:t>szybkości podejmowania decyzji i ograniczenia formalności (71 proc.), jakości obsługi klienta (70 proc.)</w:t>
      </w:r>
      <w:r w:rsidRPr="00946FD9">
        <w:rPr>
          <w:rFonts w:ascii="Calibri" w:hAnsi="Calibri" w:cs="Calibri"/>
          <w:sz w:val="20"/>
          <w:szCs w:val="20"/>
        </w:rPr>
        <w:t>, mniejszych wymagań dotyczących zdolności kredytowej i zabezpieczeń (69 proc.) oraz korzystnych rozwiązań podatkowych (68 proc.).</w:t>
      </w:r>
    </w:p>
    <w:p w14:paraId="4D4F9DA8" w14:textId="258AE1E3" w:rsidR="00630500" w:rsidRDefault="00946FD9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 xml:space="preserve">– </w:t>
      </w:r>
      <w:r w:rsidRPr="00224D89">
        <w:rPr>
          <w:rFonts w:ascii="Calibri" w:hAnsi="Calibri" w:cs="Calibri"/>
          <w:i/>
          <w:iCs/>
          <w:sz w:val="20"/>
          <w:szCs w:val="20"/>
        </w:rPr>
        <w:t>Dzisiejszy klient oczekuje sprawnego procesu i szybkiej decyzji. Cena nadal ma kluczowe znaczenie, ale coraz wyraźniej widać, że o wyborze finansowania decyduje również jakość obsługi, ograniczenie formalności oraz elastyczne podejście do potrzeb przedsiębiorcy</w:t>
      </w:r>
      <w:r w:rsidRPr="00946FD9">
        <w:rPr>
          <w:rFonts w:ascii="Calibri" w:hAnsi="Calibri" w:cs="Calibri"/>
          <w:sz w:val="20"/>
          <w:szCs w:val="20"/>
        </w:rPr>
        <w:t xml:space="preserve"> – podkreśla </w:t>
      </w:r>
      <w:r w:rsidRPr="00224D89">
        <w:rPr>
          <w:rFonts w:ascii="Calibri" w:hAnsi="Calibri" w:cs="Calibri"/>
          <w:b/>
          <w:bCs/>
          <w:sz w:val="20"/>
          <w:szCs w:val="20"/>
        </w:rPr>
        <w:t>Monika Constant</w:t>
      </w:r>
      <w:r w:rsidRPr="00946FD9">
        <w:rPr>
          <w:rFonts w:ascii="Calibri" w:hAnsi="Calibri" w:cs="Calibri"/>
          <w:sz w:val="20"/>
          <w:szCs w:val="20"/>
        </w:rPr>
        <w:t>.</w:t>
      </w:r>
    </w:p>
    <w:p w14:paraId="51667B76" w14:textId="5FF86DC9" w:rsidR="00946FD9" w:rsidRPr="00560732" w:rsidRDefault="00B67EEC" w:rsidP="00946FD9">
      <w:pPr>
        <w:spacing w:before="240" w:after="160" w:line="360" w:lineRule="auto"/>
        <w:jc w:val="both"/>
        <w:rPr>
          <w:rFonts w:cstheme="minorHAnsi"/>
          <w:b/>
          <w:bCs/>
          <w:color w:val="0070C0"/>
          <w:sz w:val="22"/>
          <w:szCs w:val="22"/>
        </w:rPr>
      </w:pPr>
      <w:r>
        <w:rPr>
          <w:rFonts w:cstheme="minorHAnsi"/>
          <w:b/>
          <w:bCs/>
          <w:noProof/>
          <w:color w:val="0070C0"/>
          <w:sz w:val="22"/>
          <w:szCs w:val="22"/>
        </w:rPr>
        <w:lastRenderedPageBreak/>
        <w:drawing>
          <wp:inline distT="0" distB="0" distL="0" distR="0" wp14:anchorId="5898B23A" wp14:editId="0817DF27">
            <wp:extent cx="5759450" cy="3009265"/>
            <wp:effectExtent l="0" t="0" r="0" b="635"/>
            <wp:docPr id="214116583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165838" name="Obraz 214116583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46FD9" w:rsidRPr="00560732">
        <w:rPr>
          <w:rFonts w:cstheme="minorHAnsi"/>
          <w:b/>
          <w:bCs/>
          <w:color w:val="0070C0"/>
          <w:sz w:val="22"/>
          <w:szCs w:val="22"/>
        </w:rPr>
        <w:t>Zadowoleni klienci polecają leasing</w:t>
      </w:r>
    </w:p>
    <w:p w14:paraId="639B3FB9" w14:textId="0B52839D" w:rsidR="00946FD9" w:rsidRPr="00C944C3" w:rsidRDefault="00946FD9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C944C3">
        <w:rPr>
          <w:rFonts w:ascii="Calibri" w:hAnsi="Calibri" w:cs="Calibri"/>
          <w:sz w:val="20"/>
          <w:szCs w:val="20"/>
        </w:rPr>
        <w:t xml:space="preserve">Aż 86 proc. przedsiębiorców korzystających lub korzystających w przeszłości z leasingu deklaruje zadowolenie z tej formy finansowania, a wśród obecnych klientów odsetek ten rośnie do 90 proc. </w:t>
      </w:r>
      <w:r w:rsidR="008A3215" w:rsidRPr="00C944C3">
        <w:rPr>
          <w:rFonts w:ascii="Calibri" w:hAnsi="Calibri" w:cs="Calibri"/>
          <w:sz w:val="20"/>
          <w:szCs w:val="20"/>
        </w:rPr>
        <w:t xml:space="preserve">Jednocześnie 84 proc. obecnych i byłych leasingobiorców poleciłoby leasing innym przedsiębiorcom. Wśród firm aktualnie korzystających z leasingu odsetek rekomendujących jest jeszcze wyższy i wynosi 87 proc. </w:t>
      </w:r>
      <w:r w:rsidRPr="00C944C3">
        <w:rPr>
          <w:rFonts w:ascii="Calibri" w:hAnsi="Calibri" w:cs="Calibri"/>
          <w:sz w:val="20"/>
          <w:szCs w:val="20"/>
        </w:rPr>
        <w:t xml:space="preserve">Co więcej, 51 proc. wskazuje, że poza wykorzystaniem </w:t>
      </w:r>
      <w:r w:rsidR="00125E6E" w:rsidRPr="00C944C3">
        <w:rPr>
          <w:rFonts w:ascii="Calibri" w:hAnsi="Calibri" w:cs="Calibri"/>
          <w:sz w:val="20"/>
          <w:szCs w:val="20"/>
        </w:rPr>
        <w:t xml:space="preserve">własnych </w:t>
      </w:r>
      <w:r w:rsidR="00944EE3">
        <w:rPr>
          <w:rFonts w:ascii="Calibri" w:hAnsi="Calibri" w:cs="Calibri"/>
          <w:sz w:val="20"/>
          <w:szCs w:val="20"/>
        </w:rPr>
        <w:t>pieniędzy</w:t>
      </w:r>
      <w:r w:rsidRPr="00C944C3">
        <w:rPr>
          <w:rFonts w:ascii="Calibri" w:hAnsi="Calibri" w:cs="Calibri"/>
          <w:sz w:val="20"/>
          <w:szCs w:val="20"/>
        </w:rPr>
        <w:t xml:space="preserve"> leasing jest jedyną realną możliwością finansowania inwestycji.</w:t>
      </w:r>
      <w:r w:rsidR="00C944C3" w:rsidRPr="00C944C3">
        <w:rPr>
          <w:rFonts w:ascii="Calibri" w:hAnsi="Calibri" w:cs="Calibri"/>
          <w:sz w:val="20"/>
          <w:szCs w:val="20"/>
        </w:rPr>
        <w:t xml:space="preserve"> Co trzeci leasingobiorca (34 proc.) deklaruje zamiar ponownego skorzystania z leasingu w ciągu najbliższych 12 miesięcy.</w:t>
      </w:r>
    </w:p>
    <w:p w14:paraId="4B3ECAB2" w14:textId="77777777" w:rsidR="00A91615" w:rsidRDefault="00946FD9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proofErr w:type="spellStart"/>
      <w:r w:rsidRPr="00560732">
        <w:rPr>
          <w:rFonts w:cstheme="minorHAnsi"/>
          <w:b/>
          <w:bCs/>
          <w:color w:val="0070C0"/>
          <w:sz w:val="22"/>
          <w:szCs w:val="22"/>
        </w:rPr>
        <w:t>Elektromobilność</w:t>
      </w:r>
      <w:proofErr w:type="spellEnd"/>
      <w:r w:rsidRPr="00560732">
        <w:rPr>
          <w:rFonts w:cstheme="minorHAnsi"/>
          <w:b/>
          <w:bCs/>
          <w:color w:val="0070C0"/>
          <w:sz w:val="22"/>
          <w:szCs w:val="22"/>
        </w:rPr>
        <w:t xml:space="preserve"> nadal napotyka bariery</w:t>
      </w:r>
    </w:p>
    <w:p w14:paraId="5FC4D25A" w14:textId="1EECCD1B" w:rsidR="00A91615" w:rsidRDefault="00946FD9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 xml:space="preserve">Badanie pokazuje również, że przedsiębiorcy ostrożnie podchodzą do elektryfikacji flot. </w:t>
      </w:r>
      <w:r w:rsidR="00434F86" w:rsidRPr="00434F86">
        <w:rPr>
          <w:rFonts w:ascii="Calibri" w:hAnsi="Calibri" w:cs="Calibri"/>
          <w:sz w:val="20"/>
          <w:szCs w:val="20"/>
        </w:rPr>
        <w:t xml:space="preserve">Prawie dwie trzecie (61%) MMŚP planuje zakup nowego pojazdu do firmy. </w:t>
      </w:r>
      <w:r w:rsidR="00DB2334">
        <w:rPr>
          <w:rFonts w:ascii="Calibri" w:hAnsi="Calibri" w:cs="Calibri"/>
          <w:sz w:val="20"/>
          <w:szCs w:val="20"/>
        </w:rPr>
        <w:t>P</w:t>
      </w:r>
      <w:r w:rsidR="00DB2334" w:rsidRPr="00DB2334">
        <w:rPr>
          <w:rFonts w:ascii="Calibri" w:hAnsi="Calibri" w:cs="Calibri"/>
          <w:sz w:val="20"/>
          <w:szCs w:val="20"/>
        </w:rPr>
        <w:t xml:space="preserve">rzy kolejnym zakupie pojazdu przedsiębiorcy najczęściej planują wybór samochodu benzynowego (22 proc.), z silnikiem diesla (15 proc.) lub klasycznej hybrydy (13 proc.). </w:t>
      </w:r>
      <w:r w:rsidR="00DB2334" w:rsidRPr="00DB2334">
        <w:rPr>
          <w:rFonts w:ascii="Calibri" w:hAnsi="Calibri" w:cs="Calibri"/>
          <w:sz w:val="20"/>
          <w:szCs w:val="20"/>
        </w:rPr>
        <w:lastRenderedPageBreak/>
        <w:t>Znacznie rzadziej wskazują hybrydę plug-in (6 proc.) lub samochód w pełni elektryczny (4 proc.).</w:t>
      </w:r>
      <w:r w:rsidR="00A91615"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637C00DB" wp14:editId="36FCB3A7">
            <wp:extent cx="5759450" cy="3009265"/>
            <wp:effectExtent l="0" t="0" r="0" b="635"/>
            <wp:docPr id="1078558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5586" name="Obraz 1078558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AF36E" w14:textId="2C102CAF" w:rsidR="00954C24" w:rsidRDefault="00EE175F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038F0A19" wp14:editId="52F7CF0A">
            <wp:extent cx="5759450" cy="3009265"/>
            <wp:effectExtent l="0" t="0" r="0" b="635"/>
            <wp:docPr id="30149930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499306" name="Obraz 301499306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1C7A2" w14:textId="77777777" w:rsidR="00EE175F" w:rsidRDefault="00EE175F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</w:p>
    <w:p w14:paraId="6891408C" w14:textId="4396DEAE" w:rsidR="00954C24" w:rsidRDefault="00954C24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54C24">
        <w:rPr>
          <w:rFonts w:ascii="Calibri" w:hAnsi="Calibri" w:cs="Calibri"/>
          <w:sz w:val="20"/>
          <w:szCs w:val="20"/>
        </w:rPr>
        <w:lastRenderedPageBreak/>
        <w:t>Warto zauważyć, że gdy zapytano wszystkich przedsiębiorców o to czy w ciągu 3 lat planują nabyć pojazd w pełni elektryczny to</w:t>
      </w:r>
      <w:r w:rsidR="0092013B">
        <w:rPr>
          <w:rFonts w:ascii="Calibri" w:hAnsi="Calibri" w:cs="Calibri"/>
          <w:sz w:val="20"/>
          <w:szCs w:val="20"/>
        </w:rPr>
        <w:t xml:space="preserve"> zaledwie</w:t>
      </w:r>
      <w:r w:rsidRPr="00954C24">
        <w:rPr>
          <w:rFonts w:ascii="Calibri" w:hAnsi="Calibri" w:cs="Calibri"/>
          <w:sz w:val="20"/>
          <w:szCs w:val="20"/>
        </w:rPr>
        <w:t xml:space="preserve"> </w:t>
      </w:r>
      <w:r w:rsidR="00820D07">
        <w:rPr>
          <w:rFonts w:ascii="Calibri" w:hAnsi="Calibri" w:cs="Calibri"/>
          <w:sz w:val="20"/>
          <w:szCs w:val="20"/>
        </w:rPr>
        <w:t xml:space="preserve">16 proc. odpowiada, że tak, ale kolejne </w:t>
      </w:r>
      <w:r w:rsidR="00887C3F">
        <w:rPr>
          <w:rFonts w:ascii="Calibri" w:hAnsi="Calibri" w:cs="Calibri"/>
          <w:sz w:val="20"/>
          <w:szCs w:val="20"/>
        </w:rPr>
        <w:t>21</w:t>
      </w:r>
      <w:r w:rsidRPr="00954C24">
        <w:rPr>
          <w:rFonts w:ascii="Calibri" w:hAnsi="Calibri" w:cs="Calibri"/>
          <w:sz w:val="20"/>
          <w:szCs w:val="20"/>
        </w:rPr>
        <w:t>% dopuszcza taki</w:t>
      </w:r>
      <w:r w:rsidR="0092013B">
        <w:rPr>
          <w:rFonts w:ascii="Calibri" w:hAnsi="Calibri" w:cs="Calibri"/>
          <w:sz w:val="20"/>
          <w:szCs w:val="20"/>
        </w:rPr>
        <w:t xml:space="preserve"> zakup</w:t>
      </w:r>
      <w:r w:rsidR="00887C3F">
        <w:rPr>
          <w:rFonts w:ascii="Calibri" w:hAnsi="Calibri" w:cs="Calibri"/>
          <w:sz w:val="20"/>
          <w:szCs w:val="20"/>
        </w:rPr>
        <w:t>.</w:t>
      </w:r>
      <w:r w:rsidR="00E6512B">
        <w:rPr>
          <w:rFonts w:ascii="Calibri" w:hAnsi="Calibri" w:cs="Calibri"/>
          <w:sz w:val="20"/>
          <w:szCs w:val="20"/>
        </w:rPr>
        <w:t xml:space="preserve"> </w:t>
      </w:r>
    </w:p>
    <w:p w14:paraId="054E447B" w14:textId="6296FE25" w:rsidR="0018507B" w:rsidRDefault="00A91615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5E4C1956" wp14:editId="3F2AA0E3">
            <wp:extent cx="5759450" cy="3009265"/>
            <wp:effectExtent l="0" t="0" r="0" b="635"/>
            <wp:docPr id="213981294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812948" name="Obraz 2139812948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F3FD5" w14:textId="36CA5E95" w:rsidR="00946FD9" w:rsidRDefault="00946FD9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 xml:space="preserve">Najważniejszymi zachętami do zakupu pojazdu elektrycznego pozostają dopłaty do zakupu lub leasingu (39 proc.), ulgi podatkowe (32 proc.) oraz preferencyjne finansowanie (25 proc.). </w:t>
      </w:r>
      <w:r w:rsidR="00BD39CE" w:rsidRPr="00BD39CE">
        <w:rPr>
          <w:rFonts w:ascii="Calibri" w:hAnsi="Calibri" w:cs="Calibri"/>
          <w:sz w:val="20"/>
          <w:szCs w:val="20"/>
        </w:rPr>
        <w:t>Jednocześnie 31 proc. przedsiębiorców deklaruje, że żadna z wymienionych zachęt nie skłoniłaby ich do zakupu samochodu elektrycznego.</w:t>
      </w:r>
      <w:r w:rsidR="00BD39CE">
        <w:rPr>
          <w:rFonts w:ascii="Calibri" w:hAnsi="Calibri" w:cs="Calibri"/>
          <w:sz w:val="20"/>
          <w:szCs w:val="20"/>
        </w:rPr>
        <w:t xml:space="preserve"> Z kolei </w:t>
      </w:r>
      <w:r w:rsidRPr="00946FD9">
        <w:rPr>
          <w:rFonts w:ascii="Calibri" w:hAnsi="Calibri" w:cs="Calibri"/>
          <w:sz w:val="20"/>
          <w:szCs w:val="20"/>
        </w:rPr>
        <w:t xml:space="preserve"> głównymi barierami są wysoka cena zakupu (50 proc.), ograniczony zasięg (43 proc.), długi czas ładowania oraz niewystarczająca infrastruktura ładowania (po 37 proc.).</w:t>
      </w:r>
      <w:r w:rsidR="003E272E" w:rsidRPr="003E272E">
        <w:t xml:space="preserve"> </w:t>
      </w:r>
      <w:r w:rsidR="003E272E">
        <w:rPr>
          <w:rFonts w:ascii="Calibri" w:hAnsi="Calibri" w:cs="Calibri"/>
          <w:sz w:val="20"/>
          <w:szCs w:val="20"/>
        </w:rPr>
        <w:t>Prawie</w:t>
      </w:r>
      <w:r w:rsidR="003E272E" w:rsidRPr="003E272E">
        <w:rPr>
          <w:rFonts w:ascii="Calibri" w:hAnsi="Calibri" w:cs="Calibri"/>
          <w:sz w:val="20"/>
          <w:szCs w:val="20"/>
        </w:rPr>
        <w:t xml:space="preserve"> co piąty badany (18 proc.) wskazuje również na niepewność dotyczącą wartości pojazdu po zakończeniu umowy leasingu.</w:t>
      </w:r>
    </w:p>
    <w:p w14:paraId="6DBB8D0B" w14:textId="038DA191" w:rsidR="0021534F" w:rsidRDefault="0021534F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 w:rsidRPr="0021534F">
        <w:rPr>
          <w:rFonts w:ascii="Calibri" w:hAnsi="Calibri" w:cs="Calibri"/>
          <w:sz w:val="20"/>
          <w:szCs w:val="20"/>
        </w:rPr>
        <w:t xml:space="preserve">– </w:t>
      </w:r>
      <w:r w:rsidRPr="0021534F">
        <w:rPr>
          <w:rFonts w:ascii="Calibri" w:hAnsi="Calibri" w:cs="Calibri"/>
          <w:i/>
          <w:iCs/>
          <w:sz w:val="20"/>
          <w:szCs w:val="20"/>
        </w:rPr>
        <w:t>Przedsiębiorcy nie kwestionują kierunku transformacji, ale jasno pokazują, że potrzebują zachęt, a nie dodatkowych obowiązków. Dopłaty do zakupu lub leasingu pojazdów elektrycznych, ulgi podatkowe i rozwój infrastruktury ładowania to rozwiązania, które mogą realnie przyspieszyć elektryfikację flot. Wyniki badania potwierdzają stanowisko ZPL prezentowane w dyskusji nad projektem rozporządzenia Komisji Europejskiej dotyczącym flot firmowych</w:t>
      </w:r>
      <w:r w:rsidRPr="0021534F">
        <w:rPr>
          <w:rFonts w:ascii="Calibri" w:hAnsi="Calibri" w:cs="Calibri"/>
          <w:sz w:val="20"/>
          <w:szCs w:val="20"/>
        </w:rPr>
        <w:t xml:space="preserve"> – podkreśla </w:t>
      </w:r>
      <w:r w:rsidRPr="0021534F">
        <w:rPr>
          <w:rFonts w:ascii="Calibri" w:hAnsi="Calibri" w:cs="Calibri"/>
          <w:b/>
          <w:bCs/>
          <w:sz w:val="20"/>
          <w:szCs w:val="20"/>
        </w:rPr>
        <w:t>Monika Constant</w:t>
      </w:r>
      <w:r w:rsidRPr="0021534F">
        <w:rPr>
          <w:rFonts w:ascii="Calibri" w:hAnsi="Calibri" w:cs="Calibri"/>
          <w:sz w:val="20"/>
          <w:szCs w:val="20"/>
        </w:rPr>
        <w:t>.</w:t>
      </w:r>
    </w:p>
    <w:p w14:paraId="0CB5C3CF" w14:textId="1E39C637" w:rsidR="00DB2B50" w:rsidRDefault="00DB2B50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lastRenderedPageBreak/>
        <w:drawing>
          <wp:inline distT="0" distB="0" distL="0" distR="0" wp14:anchorId="2975E634" wp14:editId="5C23876D">
            <wp:extent cx="5759450" cy="3009265"/>
            <wp:effectExtent l="0" t="0" r="0" b="635"/>
            <wp:docPr id="13735056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50563" name="Obraz 137350563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218AA" w14:textId="3ADFFF61" w:rsidR="007E7A89" w:rsidRPr="00946FD9" w:rsidRDefault="007E7A89" w:rsidP="00946FD9">
      <w:pPr>
        <w:spacing w:before="240" w:after="160" w:line="36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inline distT="0" distB="0" distL="0" distR="0" wp14:anchorId="3E55049E" wp14:editId="22C9C13B">
            <wp:extent cx="5759450" cy="3009265"/>
            <wp:effectExtent l="0" t="0" r="0" b="635"/>
            <wp:docPr id="211773951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739512" name="Obraz 211773951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0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0A0F2" w14:textId="77777777" w:rsidR="00946FD9" w:rsidRPr="00B371AB" w:rsidRDefault="00946FD9" w:rsidP="00946FD9">
      <w:pPr>
        <w:spacing w:before="240" w:after="160" w:line="360" w:lineRule="auto"/>
        <w:jc w:val="both"/>
        <w:rPr>
          <w:rFonts w:ascii="Calibri" w:hAnsi="Calibri" w:cs="Calibri"/>
          <w:b/>
          <w:bCs/>
          <w:sz w:val="20"/>
          <w:szCs w:val="20"/>
        </w:rPr>
      </w:pPr>
      <w:r w:rsidRPr="00B371AB">
        <w:rPr>
          <w:rFonts w:ascii="Calibri" w:hAnsi="Calibri" w:cs="Calibri"/>
          <w:b/>
          <w:bCs/>
          <w:sz w:val="20"/>
          <w:szCs w:val="20"/>
        </w:rPr>
        <w:t>O badaniu</w:t>
      </w:r>
    </w:p>
    <w:p w14:paraId="15C7B60C" w14:textId="4CF3E93D" w:rsidR="00946FD9" w:rsidRPr="00015B85" w:rsidRDefault="00946FD9" w:rsidP="008850FB">
      <w:pPr>
        <w:spacing w:line="360" w:lineRule="auto"/>
        <w:rPr>
          <w:rFonts w:ascii="Calibri" w:hAnsi="Calibri" w:cs="Calibri"/>
          <w:sz w:val="20"/>
          <w:szCs w:val="20"/>
        </w:rPr>
      </w:pPr>
      <w:r w:rsidRPr="00946FD9">
        <w:rPr>
          <w:rFonts w:ascii="Calibri" w:hAnsi="Calibri" w:cs="Calibri"/>
          <w:sz w:val="20"/>
          <w:szCs w:val="20"/>
        </w:rPr>
        <w:t xml:space="preserve">Badanie SME Finance </w:t>
      </w:r>
      <w:proofErr w:type="spellStart"/>
      <w:r w:rsidRPr="00946FD9">
        <w:rPr>
          <w:rFonts w:ascii="Calibri" w:hAnsi="Calibri" w:cs="Calibri"/>
          <w:sz w:val="20"/>
          <w:szCs w:val="20"/>
        </w:rPr>
        <w:t>Track</w:t>
      </w:r>
      <w:proofErr w:type="spellEnd"/>
      <w:r w:rsidRPr="00946FD9">
        <w:rPr>
          <w:rFonts w:ascii="Calibri" w:hAnsi="Calibri" w:cs="Calibri"/>
          <w:sz w:val="20"/>
          <w:szCs w:val="20"/>
        </w:rPr>
        <w:t xml:space="preserve"> 2026 zostało zrealizowane przez Centrum Badań Marketingowych INDICATOR w II kwartale 2026 roku metodą mix-</w:t>
      </w:r>
      <w:proofErr w:type="spellStart"/>
      <w:r w:rsidRPr="00946FD9">
        <w:rPr>
          <w:rFonts w:ascii="Calibri" w:hAnsi="Calibri" w:cs="Calibri"/>
          <w:sz w:val="20"/>
          <w:szCs w:val="20"/>
        </w:rPr>
        <w:t>mode</w:t>
      </w:r>
      <w:proofErr w:type="spellEnd"/>
      <w:r w:rsidRPr="00946FD9">
        <w:rPr>
          <w:rFonts w:ascii="Calibri" w:hAnsi="Calibri" w:cs="Calibri"/>
          <w:sz w:val="20"/>
          <w:szCs w:val="20"/>
        </w:rPr>
        <w:t xml:space="preserve"> (CAPI i CAWI) na reprezentatywnej próbie 1077 mikro, małych i średnich </w:t>
      </w:r>
      <w:r w:rsidRPr="00946FD9">
        <w:rPr>
          <w:rFonts w:ascii="Calibri" w:hAnsi="Calibri" w:cs="Calibri"/>
          <w:sz w:val="20"/>
          <w:szCs w:val="20"/>
        </w:rPr>
        <w:lastRenderedPageBreak/>
        <w:t xml:space="preserve">przedsiębiorstw, których przychody w 2025 roku nie przekroczyły 30 mln zł. </w:t>
      </w:r>
      <w:r w:rsidR="008850FB" w:rsidRPr="008850FB">
        <w:rPr>
          <w:rFonts w:ascii="Calibri" w:hAnsi="Calibri" w:cs="Calibri"/>
          <w:sz w:val="20"/>
          <w:szCs w:val="20"/>
        </w:rPr>
        <w:t>Próba badawcza miała charakter losowo – warstwowy.</w:t>
      </w:r>
      <w:r w:rsidR="008850FB">
        <w:rPr>
          <w:rFonts w:ascii="Calibri" w:hAnsi="Calibri" w:cs="Calibri"/>
          <w:sz w:val="20"/>
          <w:szCs w:val="20"/>
        </w:rPr>
        <w:t xml:space="preserve"> </w:t>
      </w:r>
      <w:r w:rsidRPr="00946FD9">
        <w:rPr>
          <w:rFonts w:ascii="Calibri" w:hAnsi="Calibri" w:cs="Calibri"/>
          <w:sz w:val="20"/>
          <w:szCs w:val="20"/>
        </w:rPr>
        <w:t>Respondentami byli właściciele, współwłaściciele, dyrektorzy oraz główni księgowi firm.</w:t>
      </w:r>
    </w:p>
    <w:p w14:paraId="7712F1C0" w14:textId="7DFBCDD1" w:rsidR="004503EC" w:rsidRPr="0007320F" w:rsidRDefault="00000000" w:rsidP="00EA7001">
      <w:pPr>
        <w:spacing w:before="240" w:after="240" w:line="360" w:lineRule="auto"/>
        <w:jc w:val="both"/>
        <w:rPr>
          <w:rFonts w:cstheme="minorHAnsi"/>
          <w:sz w:val="32"/>
          <w:szCs w:val="32"/>
        </w:rPr>
      </w:pPr>
      <w:r>
        <w:rPr>
          <w:rFonts w:cstheme="minorHAnsi"/>
          <w:b/>
          <w:bCs/>
          <w:color w:val="0070C0"/>
          <w:sz w:val="32"/>
          <w:szCs w:val="32"/>
        </w:rPr>
        <w:pict w14:anchorId="754BF4D0">
          <v:rect id="_x0000_i1025" style="width:0;height:1.5pt" o:hralign="center" o:hrstd="t" o:hr="t" fillcolor="#a0a0a0" stroked="f"/>
        </w:pict>
      </w:r>
    </w:p>
    <w:p w14:paraId="40E5B297" w14:textId="77777777" w:rsidR="008B319C" w:rsidRPr="00B10084" w:rsidRDefault="008B319C" w:rsidP="00EA7001">
      <w:pPr>
        <w:spacing w:before="240" w:line="360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4B079E54" w14:textId="016BEB00" w:rsidR="000026C6" w:rsidRPr="000026C6" w:rsidRDefault="004F7B4A" w:rsidP="00EA7001">
      <w:pPr>
        <w:tabs>
          <w:tab w:val="num" w:pos="720"/>
        </w:tabs>
        <w:spacing w:before="240"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2F365E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2F365E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 w:rsidR="000F3205">
        <w:rPr>
          <w:rFonts w:cstheme="minorHAnsi"/>
          <w:sz w:val="16"/>
          <w:szCs w:val="16"/>
          <w:shd w:val="clear" w:color="auto" w:fill="FFFFFF"/>
        </w:rPr>
        <w:t>7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podmiotów obejmujące ponad 90</w:t>
      </w:r>
      <w:r w:rsidR="00A10ACD"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sektora: 3</w:t>
      </w:r>
      <w:r w:rsidR="000F3205">
        <w:rPr>
          <w:rFonts w:cstheme="minorHAnsi"/>
          <w:sz w:val="16"/>
          <w:szCs w:val="16"/>
          <w:shd w:val="clear" w:color="auto" w:fill="FFFFFF"/>
        </w:rPr>
        <w:t>6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 firm leasingowych oraz Polski Związek Wynajmu i Leasingu Pojazdów. ZPL prowadzi działania wizerunkowe i edukacyjne na rzecz propagowania leasingu jako narzędzia wspierającego rozwój przedsiębiorczości. Do zadań ZPL należy monitorowanie, opiniowanie oraz opracowywanie ekspertyz w zakresie regulacji dotyczących leasingu. Związek 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jest aktywnym członkiem </w:t>
      </w:r>
      <w:r w:rsidR="00E76917" w:rsidRPr="000F3205">
        <w:rPr>
          <w:rFonts w:cstheme="minorHAnsi"/>
          <w:sz w:val="16"/>
          <w:szCs w:val="16"/>
          <w:shd w:val="clear" w:color="auto" w:fill="FFFFFF"/>
        </w:rPr>
        <w:t>Leaseurope</w:t>
      </w:r>
      <w:r w:rsidR="00E76917" w:rsidRPr="00E76917">
        <w:rPr>
          <w:rFonts w:cstheme="minorHAnsi"/>
          <w:sz w:val="16"/>
          <w:szCs w:val="16"/>
          <w:shd w:val="clear" w:color="auto" w:fill="FFFFFF"/>
        </w:rPr>
        <w:t xml:space="preserve"> – europejskiej federacji organizacji branży leasingowej i wynajmu pojazdów, zrzeszającej 45 stowarzyszeń z 32 krajów Europy.</w:t>
      </w:r>
      <w:r w:rsidR="00E76917"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2F365E">
        <w:rPr>
          <w:rFonts w:cstheme="minorHAnsi"/>
          <w:sz w:val="16"/>
          <w:szCs w:val="16"/>
          <w:shd w:val="clear" w:color="auto" w:fill="FFFFFF"/>
        </w:rPr>
        <w:t xml:space="preserve">W 2024 roku ZPL obchodził 30-lecie istnienia. W ciągu trzech dekad firmy leasingowe przeznaczyły ponad 1 bln zł na inwestycje przedsiębiorstw działających w Polsce. </w:t>
      </w:r>
      <w:r w:rsidR="000F3205">
        <w:rPr>
          <w:rFonts w:cstheme="minorHAnsi"/>
          <w:sz w:val="16"/>
          <w:szCs w:val="16"/>
          <w:shd w:val="clear" w:color="auto" w:fill="FFFFFF"/>
        </w:rPr>
        <w:t xml:space="preserve">W 2025 roku </w:t>
      </w:r>
      <w:r w:rsidR="000026C6">
        <w:rPr>
          <w:rFonts w:cstheme="minorHAnsi"/>
          <w:sz w:val="16"/>
          <w:szCs w:val="16"/>
          <w:shd w:val="clear" w:color="auto" w:fill="FFFFFF"/>
        </w:rPr>
        <w:t>f</w:t>
      </w:r>
      <w:r w:rsidR="000026C6" w:rsidRPr="000026C6">
        <w:rPr>
          <w:rFonts w:cstheme="minorHAnsi"/>
          <w:sz w:val="16"/>
          <w:szCs w:val="16"/>
          <w:shd w:val="clear" w:color="auto" w:fill="FFFFFF"/>
        </w:rPr>
        <w:t>irmy leasingowe sfinansowały inwestycje przedsiębiorstw na kwotę 119,5 mld zł. Oznacza to wzrost rynku o 8,1 proc. r/r.</w:t>
      </w:r>
    </w:p>
    <w:p w14:paraId="143F7770" w14:textId="77777777" w:rsidR="008B319C" w:rsidRPr="00B10084" w:rsidRDefault="008B319C" w:rsidP="00EA7001">
      <w:pPr>
        <w:spacing w:line="360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61D5CFE3" w14:textId="77777777" w:rsidR="008B319C" w:rsidRDefault="008B319C" w:rsidP="00EA7001">
      <w:pPr>
        <w:spacing w:line="360" w:lineRule="auto"/>
        <w:jc w:val="both"/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16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66700255" w14:textId="63520437" w:rsidR="008B319C" w:rsidRPr="0071752C" w:rsidRDefault="00000000" w:rsidP="00EA7001">
      <w:pPr>
        <w:spacing w:line="360" w:lineRule="auto"/>
        <w:jc w:val="both"/>
      </w:pPr>
      <w:r>
        <w:rPr>
          <w:rFonts w:cstheme="minorHAnsi"/>
          <w:b/>
          <w:bCs/>
          <w:color w:val="0070C0"/>
          <w:sz w:val="32"/>
          <w:szCs w:val="32"/>
        </w:rPr>
        <w:pict w14:anchorId="6A5E4DC0">
          <v:rect id="_x0000_i1026" style="width:0;height:1.5pt" o:hralign="center" o:hrstd="t" o:hr="t" fillcolor="#a0a0a0" stroked="f"/>
        </w:pict>
      </w:r>
    </w:p>
    <w:p w14:paraId="72165DC1" w14:textId="77777777" w:rsidR="008B319C" w:rsidRPr="00FE1A5E" w:rsidRDefault="008B319C" w:rsidP="00EA7001">
      <w:pPr>
        <w:spacing w:line="360" w:lineRule="auto"/>
        <w:jc w:val="both"/>
        <w:rPr>
          <w:rFonts w:cstheme="minorHAnsi"/>
          <w:b/>
          <w:sz w:val="18"/>
          <w:szCs w:val="18"/>
          <w:shd w:val="clear" w:color="auto" w:fill="FFFFFF"/>
        </w:rPr>
      </w:pPr>
      <w:r w:rsidRPr="00FE1A5E">
        <w:rPr>
          <w:rFonts w:cstheme="minorHAnsi"/>
          <w:b/>
          <w:sz w:val="18"/>
          <w:szCs w:val="18"/>
          <w:shd w:val="clear" w:color="auto" w:fill="FFFFFF"/>
        </w:rPr>
        <w:t>Kontakt dla mediów:</w:t>
      </w:r>
    </w:p>
    <w:p w14:paraId="5F179E03" w14:textId="77777777" w:rsidR="008B319C" w:rsidRPr="00FE1A5E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Katarzyna Ostrowska</w:t>
      </w:r>
    </w:p>
    <w:p w14:paraId="2815BE52" w14:textId="77777777" w:rsidR="008B319C" w:rsidRPr="00FE1A5E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Dyrektorka ds. komunikacji i PR</w:t>
      </w:r>
    </w:p>
    <w:p w14:paraId="65331279" w14:textId="77777777" w:rsidR="008B319C" w:rsidRPr="00FE1A5E" w:rsidRDefault="008B319C" w:rsidP="00EA7001">
      <w:pPr>
        <w:spacing w:line="360" w:lineRule="auto"/>
        <w:jc w:val="both"/>
        <w:rPr>
          <w:rFonts w:cstheme="minorHAnsi"/>
          <w:sz w:val="18"/>
          <w:szCs w:val="18"/>
          <w:lang w:val="de-DE"/>
        </w:rPr>
      </w:pPr>
      <w:proofErr w:type="spellStart"/>
      <w:r w:rsidRPr="00FE1A5E">
        <w:rPr>
          <w:rFonts w:cstheme="minorHAnsi"/>
          <w:sz w:val="18"/>
          <w:szCs w:val="18"/>
          <w:lang w:val="de-DE"/>
        </w:rPr>
        <w:t>e-mail</w:t>
      </w:r>
      <w:proofErr w:type="spellEnd"/>
      <w:r w:rsidRPr="00FE1A5E">
        <w:rPr>
          <w:rFonts w:cstheme="minorHAnsi"/>
          <w:sz w:val="18"/>
          <w:szCs w:val="18"/>
          <w:lang w:val="de-DE"/>
        </w:rPr>
        <w:t xml:space="preserve">: katarzyna.ostrowska@leasing.org.pl </w:t>
      </w:r>
    </w:p>
    <w:p w14:paraId="29DD4912" w14:textId="6EE3BBD2" w:rsidR="008B319C" w:rsidRPr="0071752C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tel.: (+48) 697 770 498</w:t>
      </w:r>
    </w:p>
    <w:p w14:paraId="29490517" w14:textId="6A003B30" w:rsidR="008B319C" w:rsidRPr="00FE1A5E" w:rsidRDefault="008B319C" w:rsidP="00EA7001">
      <w:pPr>
        <w:spacing w:line="360" w:lineRule="auto"/>
        <w:jc w:val="both"/>
        <w:rPr>
          <w:rFonts w:cstheme="minorHAnsi"/>
          <w:sz w:val="18"/>
          <w:szCs w:val="18"/>
        </w:rPr>
      </w:pPr>
      <w:r w:rsidRPr="00FE1A5E">
        <w:rPr>
          <w:rFonts w:cstheme="minorHAnsi"/>
          <w:sz w:val="18"/>
          <w:szCs w:val="18"/>
        </w:rPr>
        <w:t>Śledź nas na</w:t>
      </w:r>
      <w:r w:rsidR="00FE1A5E">
        <w:rPr>
          <w:rFonts w:cstheme="minorHAnsi"/>
          <w:sz w:val="18"/>
          <w:szCs w:val="18"/>
        </w:rPr>
        <w:t>:</w:t>
      </w:r>
      <w:r w:rsidRPr="00FE1A5E">
        <w:rPr>
          <w:rFonts w:cstheme="minorHAnsi"/>
          <w:sz w:val="18"/>
          <w:szCs w:val="18"/>
        </w:rPr>
        <w:t xml:space="preserve"> </w:t>
      </w:r>
    </w:p>
    <w:p w14:paraId="71551D1E" w14:textId="77777777" w:rsidR="008B319C" w:rsidRPr="00B10084" w:rsidRDefault="008B319C" w:rsidP="00EA7001">
      <w:pPr>
        <w:spacing w:line="360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70926D3E" wp14:editId="3C75D50A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7"/>
                    </pic:cNvPr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0F7AC1AB" wp14:editId="73647936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9"/>
                    </pic:cNvPr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14914" w14:textId="77777777" w:rsidR="008B319C" w:rsidRPr="004F4588" w:rsidRDefault="008B319C" w:rsidP="00EA7001">
      <w:pPr>
        <w:spacing w:line="360" w:lineRule="auto"/>
        <w:jc w:val="both"/>
      </w:pPr>
    </w:p>
    <w:sectPr w:rsidR="008B319C" w:rsidRPr="004F4588" w:rsidSect="00D8460D">
      <w:headerReference w:type="default" r:id="rId21"/>
      <w:footerReference w:type="default" r:id="rId22"/>
      <w:pgSz w:w="11906" w:h="16838"/>
      <w:pgMar w:top="3970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CB434" w14:textId="77777777" w:rsidR="00E6574E" w:rsidRDefault="00E6574E" w:rsidP="00C64445">
      <w:r>
        <w:separator/>
      </w:r>
    </w:p>
  </w:endnote>
  <w:endnote w:type="continuationSeparator" w:id="0">
    <w:p w14:paraId="5FEDCA02" w14:textId="77777777" w:rsidR="00E6574E" w:rsidRDefault="00E6574E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47395381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BE1B9" w14:textId="77777777" w:rsidR="00E6574E" w:rsidRDefault="00E6574E" w:rsidP="00C64445">
      <w:r>
        <w:separator/>
      </w:r>
    </w:p>
  </w:footnote>
  <w:footnote w:type="continuationSeparator" w:id="0">
    <w:p w14:paraId="7EBBF56B" w14:textId="77777777" w:rsidR="00E6574E" w:rsidRDefault="00E6574E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1458316460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55241"/>
    <w:multiLevelType w:val="multilevel"/>
    <w:tmpl w:val="BAD87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54542"/>
    <w:multiLevelType w:val="hybridMultilevel"/>
    <w:tmpl w:val="5AA286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16706"/>
    <w:multiLevelType w:val="multilevel"/>
    <w:tmpl w:val="443C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BE7723"/>
    <w:multiLevelType w:val="multilevel"/>
    <w:tmpl w:val="7F6CC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352B7F"/>
    <w:multiLevelType w:val="multilevel"/>
    <w:tmpl w:val="AC56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7C3DCE"/>
    <w:multiLevelType w:val="multilevel"/>
    <w:tmpl w:val="900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865460"/>
    <w:multiLevelType w:val="multilevel"/>
    <w:tmpl w:val="58E0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A41EFE"/>
    <w:multiLevelType w:val="hybridMultilevel"/>
    <w:tmpl w:val="7D082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47A42"/>
    <w:multiLevelType w:val="hybridMultilevel"/>
    <w:tmpl w:val="1AB625F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D4200"/>
    <w:multiLevelType w:val="multilevel"/>
    <w:tmpl w:val="59EC0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BD6382"/>
    <w:multiLevelType w:val="hybridMultilevel"/>
    <w:tmpl w:val="E9026E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DE0C84"/>
    <w:multiLevelType w:val="hybridMultilevel"/>
    <w:tmpl w:val="8FD44CC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E10DA"/>
    <w:multiLevelType w:val="hybridMultilevel"/>
    <w:tmpl w:val="EFD43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C7714"/>
    <w:multiLevelType w:val="multilevel"/>
    <w:tmpl w:val="FE7C6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BD381F"/>
    <w:multiLevelType w:val="hybridMultilevel"/>
    <w:tmpl w:val="821CFF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585B26"/>
    <w:multiLevelType w:val="multilevel"/>
    <w:tmpl w:val="2B00E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D6769F"/>
    <w:multiLevelType w:val="hybridMultilevel"/>
    <w:tmpl w:val="03BC8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15ABB"/>
    <w:multiLevelType w:val="hybridMultilevel"/>
    <w:tmpl w:val="03AC4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2D4BBA"/>
    <w:multiLevelType w:val="multilevel"/>
    <w:tmpl w:val="ACF4B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6404B2"/>
    <w:multiLevelType w:val="multilevel"/>
    <w:tmpl w:val="8B0A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C21D67"/>
    <w:multiLevelType w:val="hybridMultilevel"/>
    <w:tmpl w:val="5F8859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576425"/>
    <w:multiLevelType w:val="multilevel"/>
    <w:tmpl w:val="31B2E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18401D"/>
    <w:multiLevelType w:val="multilevel"/>
    <w:tmpl w:val="BE44C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552F0E"/>
    <w:multiLevelType w:val="hybridMultilevel"/>
    <w:tmpl w:val="8A0ED6F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3785019"/>
    <w:multiLevelType w:val="multilevel"/>
    <w:tmpl w:val="1388C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DF611B"/>
    <w:multiLevelType w:val="multilevel"/>
    <w:tmpl w:val="17149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CC0E24"/>
    <w:multiLevelType w:val="multilevel"/>
    <w:tmpl w:val="37BC7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D1283F"/>
    <w:multiLevelType w:val="multilevel"/>
    <w:tmpl w:val="8080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1E2687"/>
    <w:multiLevelType w:val="multilevel"/>
    <w:tmpl w:val="8106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CC28B6"/>
    <w:multiLevelType w:val="hybridMultilevel"/>
    <w:tmpl w:val="A934D9E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830785"/>
    <w:multiLevelType w:val="hybridMultilevel"/>
    <w:tmpl w:val="765C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1550F5"/>
    <w:multiLevelType w:val="multilevel"/>
    <w:tmpl w:val="3AF2D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B1324E"/>
    <w:multiLevelType w:val="hybridMultilevel"/>
    <w:tmpl w:val="51C20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205604">
    <w:abstractNumId w:val="2"/>
  </w:num>
  <w:num w:numId="2" w16cid:durableId="914633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29"/>
  </w:num>
  <w:num w:numId="4" w16cid:durableId="663321470">
    <w:abstractNumId w:val="33"/>
  </w:num>
  <w:num w:numId="5" w16cid:durableId="162018194">
    <w:abstractNumId w:val="3"/>
  </w:num>
  <w:num w:numId="6" w16cid:durableId="64644634">
    <w:abstractNumId w:val="12"/>
  </w:num>
  <w:num w:numId="7" w16cid:durableId="2027907007">
    <w:abstractNumId w:val="26"/>
  </w:num>
  <w:num w:numId="8" w16cid:durableId="471412180">
    <w:abstractNumId w:val="11"/>
  </w:num>
  <w:num w:numId="9" w16cid:durableId="980813205">
    <w:abstractNumId w:val="1"/>
  </w:num>
  <w:num w:numId="10" w16cid:durableId="793132770">
    <w:abstractNumId w:val="9"/>
  </w:num>
  <w:num w:numId="11" w16cid:durableId="1086851412">
    <w:abstractNumId w:val="17"/>
  </w:num>
  <w:num w:numId="12" w16cid:durableId="1174303547">
    <w:abstractNumId w:val="4"/>
  </w:num>
  <w:num w:numId="13" w16cid:durableId="2100129948">
    <w:abstractNumId w:val="30"/>
  </w:num>
  <w:num w:numId="14" w16cid:durableId="1563324192">
    <w:abstractNumId w:val="24"/>
  </w:num>
  <w:num w:numId="15" w16cid:durableId="705569770">
    <w:abstractNumId w:val="27"/>
  </w:num>
  <w:num w:numId="16" w16cid:durableId="111291106">
    <w:abstractNumId w:val="6"/>
  </w:num>
  <w:num w:numId="17" w16cid:durableId="1952204828">
    <w:abstractNumId w:val="23"/>
  </w:num>
  <w:num w:numId="18" w16cid:durableId="467361020">
    <w:abstractNumId w:val="14"/>
  </w:num>
  <w:num w:numId="19" w16cid:durableId="1832141202">
    <w:abstractNumId w:val="22"/>
  </w:num>
  <w:num w:numId="20" w16cid:durableId="1039624216">
    <w:abstractNumId w:val="10"/>
  </w:num>
  <w:num w:numId="21" w16cid:durableId="659163590">
    <w:abstractNumId w:val="13"/>
  </w:num>
  <w:num w:numId="22" w16cid:durableId="2110006445">
    <w:abstractNumId w:val="16"/>
  </w:num>
  <w:num w:numId="23" w16cid:durableId="1797944648">
    <w:abstractNumId w:val="0"/>
  </w:num>
  <w:num w:numId="24" w16cid:durableId="2082213637">
    <w:abstractNumId w:val="15"/>
  </w:num>
  <w:num w:numId="25" w16cid:durableId="1752896399">
    <w:abstractNumId w:val="31"/>
  </w:num>
  <w:num w:numId="26" w16cid:durableId="1489051389">
    <w:abstractNumId w:val="35"/>
  </w:num>
  <w:num w:numId="27" w16cid:durableId="1232807736">
    <w:abstractNumId w:val="8"/>
  </w:num>
  <w:num w:numId="28" w16cid:durableId="682897662">
    <w:abstractNumId w:val="18"/>
  </w:num>
  <w:num w:numId="29" w16cid:durableId="1839425136">
    <w:abstractNumId w:val="21"/>
  </w:num>
  <w:num w:numId="30" w16cid:durableId="1138953172">
    <w:abstractNumId w:val="7"/>
  </w:num>
  <w:num w:numId="31" w16cid:durableId="1981228885">
    <w:abstractNumId w:val="20"/>
  </w:num>
  <w:num w:numId="32" w16cid:durableId="162092142">
    <w:abstractNumId w:val="19"/>
  </w:num>
  <w:num w:numId="33" w16cid:durableId="1804737737">
    <w:abstractNumId w:val="5"/>
  </w:num>
  <w:num w:numId="34" w16cid:durableId="1553032171">
    <w:abstractNumId w:val="37"/>
  </w:num>
  <w:num w:numId="35" w16cid:durableId="1743675783">
    <w:abstractNumId w:val="25"/>
  </w:num>
  <w:num w:numId="36" w16cid:durableId="1561593472">
    <w:abstractNumId w:val="32"/>
  </w:num>
  <w:num w:numId="37" w16cid:durableId="134027947">
    <w:abstractNumId w:val="34"/>
  </w:num>
  <w:num w:numId="38" w16cid:durableId="2017264115">
    <w:abstractNumId w:val="36"/>
  </w:num>
  <w:num w:numId="39" w16cid:durableId="5202421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026C6"/>
    <w:rsid w:val="000119FB"/>
    <w:rsid w:val="000139EE"/>
    <w:rsid w:val="00015B85"/>
    <w:rsid w:val="0001765A"/>
    <w:rsid w:val="0002000A"/>
    <w:rsid w:val="000230B3"/>
    <w:rsid w:val="0002341D"/>
    <w:rsid w:val="00026258"/>
    <w:rsid w:val="00026267"/>
    <w:rsid w:val="000270DE"/>
    <w:rsid w:val="000279C9"/>
    <w:rsid w:val="00030CBE"/>
    <w:rsid w:val="000378A7"/>
    <w:rsid w:val="00040A75"/>
    <w:rsid w:val="000426F8"/>
    <w:rsid w:val="00043408"/>
    <w:rsid w:val="00045B7F"/>
    <w:rsid w:val="00046B54"/>
    <w:rsid w:val="00046BA6"/>
    <w:rsid w:val="0005239B"/>
    <w:rsid w:val="00054B09"/>
    <w:rsid w:val="00060AAA"/>
    <w:rsid w:val="00062F1F"/>
    <w:rsid w:val="00070A65"/>
    <w:rsid w:val="0007320F"/>
    <w:rsid w:val="00074185"/>
    <w:rsid w:val="00075D79"/>
    <w:rsid w:val="00080F9A"/>
    <w:rsid w:val="00085624"/>
    <w:rsid w:val="0008695F"/>
    <w:rsid w:val="00087C5A"/>
    <w:rsid w:val="00091456"/>
    <w:rsid w:val="00096CA6"/>
    <w:rsid w:val="00097119"/>
    <w:rsid w:val="000A145A"/>
    <w:rsid w:val="000B2597"/>
    <w:rsid w:val="000B25F9"/>
    <w:rsid w:val="000B30BE"/>
    <w:rsid w:val="000B42C8"/>
    <w:rsid w:val="000B5BB8"/>
    <w:rsid w:val="000C1967"/>
    <w:rsid w:val="000C430A"/>
    <w:rsid w:val="000C60C8"/>
    <w:rsid w:val="000D295A"/>
    <w:rsid w:val="000D55C9"/>
    <w:rsid w:val="000D734F"/>
    <w:rsid w:val="000E3F2C"/>
    <w:rsid w:val="000E44B4"/>
    <w:rsid w:val="000E4EC0"/>
    <w:rsid w:val="000E5778"/>
    <w:rsid w:val="000F0265"/>
    <w:rsid w:val="000F1E11"/>
    <w:rsid w:val="000F3205"/>
    <w:rsid w:val="00103CEB"/>
    <w:rsid w:val="00104425"/>
    <w:rsid w:val="001054ED"/>
    <w:rsid w:val="001056CC"/>
    <w:rsid w:val="0011042D"/>
    <w:rsid w:val="00111056"/>
    <w:rsid w:val="001150F9"/>
    <w:rsid w:val="00116B72"/>
    <w:rsid w:val="00122775"/>
    <w:rsid w:val="001230CD"/>
    <w:rsid w:val="00124778"/>
    <w:rsid w:val="001253A1"/>
    <w:rsid w:val="00125E6E"/>
    <w:rsid w:val="00126D7E"/>
    <w:rsid w:val="00127BEE"/>
    <w:rsid w:val="00131CD0"/>
    <w:rsid w:val="00131D75"/>
    <w:rsid w:val="00133576"/>
    <w:rsid w:val="00135BFF"/>
    <w:rsid w:val="001416AC"/>
    <w:rsid w:val="00141CAA"/>
    <w:rsid w:val="0014353F"/>
    <w:rsid w:val="00144EE1"/>
    <w:rsid w:val="0014511E"/>
    <w:rsid w:val="001452BD"/>
    <w:rsid w:val="00145459"/>
    <w:rsid w:val="00152DE2"/>
    <w:rsid w:val="0015561F"/>
    <w:rsid w:val="00155F5D"/>
    <w:rsid w:val="00157180"/>
    <w:rsid w:val="00164D38"/>
    <w:rsid w:val="001652B8"/>
    <w:rsid w:val="00165647"/>
    <w:rsid w:val="001657AB"/>
    <w:rsid w:val="0016778E"/>
    <w:rsid w:val="00173204"/>
    <w:rsid w:val="00173D00"/>
    <w:rsid w:val="001810B5"/>
    <w:rsid w:val="0018129A"/>
    <w:rsid w:val="0018289C"/>
    <w:rsid w:val="00182F71"/>
    <w:rsid w:val="00183436"/>
    <w:rsid w:val="00184F8B"/>
    <w:rsid w:val="0018507B"/>
    <w:rsid w:val="00192A39"/>
    <w:rsid w:val="0019410B"/>
    <w:rsid w:val="00196147"/>
    <w:rsid w:val="001A06B9"/>
    <w:rsid w:val="001A3E5F"/>
    <w:rsid w:val="001A4918"/>
    <w:rsid w:val="001A4F29"/>
    <w:rsid w:val="001A5150"/>
    <w:rsid w:val="001A6855"/>
    <w:rsid w:val="001A7D3A"/>
    <w:rsid w:val="001B0556"/>
    <w:rsid w:val="001B1BD1"/>
    <w:rsid w:val="001B37C5"/>
    <w:rsid w:val="001C02E9"/>
    <w:rsid w:val="001C109B"/>
    <w:rsid w:val="001C2893"/>
    <w:rsid w:val="001C58A6"/>
    <w:rsid w:val="001D18E0"/>
    <w:rsid w:val="001D26CA"/>
    <w:rsid w:val="001D432B"/>
    <w:rsid w:val="001D46CD"/>
    <w:rsid w:val="001D58F4"/>
    <w:rsid w:val="001D6F0C"/>
    <w:rsid w:val="001E2415"/>
    <w:rsid w:val="001E59CF"/>
    <w:rsid w:val="001F1650"/>
    <w:rsid w:val="001F250F"/>
    <w:rsid w:val="001F2866"/>
    <w:rsid w:val="001F41AE"/>
    <w:rsid w:val="001F505B"/>
    <w:rsid w:val="001F57AC"/>
    <w:rsid w:val="001F7E64"/>
    <w:rsid w:val="002056E9"/>
    <w:rsid w:val="00210202"/>
    <w:rsid w:val="002113D3"/>
    <w:rsid w:val="00212802"/>
    <w:rsid w:val="00214B24"/>
    <w:rsid w:val="0021534F"/>
    <w:rsid w:val="002169BD"/>
    <w:rsid w:val="00221364"/>
    <w:rsid w:val="0022388D"/>
    <w:rsid w:val="0022460D"/>
    <w:rsid w:val="00224D89"/>
    <w:rsid w:val="00225C07"/>
    <w:rsid w:val="002267A3"/>
    <w:rsid w:val="00232A86"/>
    <w:rsid w:val="00234973"/>
    <w:rsid w:val="00240195"/>
    <w:rsid w:val="00240836"/>
    <w:rsid w:val="00244973"/>
    <w:rsid w:val="00246C6F"/>
    <w:rsid w:val="0025147D"/>
    <w:rsid w:val="00251977"/>
    <w:rsid w:val="00254A49"/>
    <w:rsid w:val="002555B6"/>
    <w:rsid w:val="00257990"/>
    <w:rsid w:val="0026034E"/>
    <w:rsid w:val="0026188F"/>
    <w:rsid w:val="00263A06"/>
    <w:rsid w:val="002663A2"/>
    <w:rsid w:val="0026795E"/>
    <w:rsid w:val="002733C7"/>
    <w:rsid w:val="0027542A"/>
    <w:rsid w:val="00275926"/>
    <w:rsid w:val="00277A38"/>
    <w:rsid w:val="002850D6"/>
    <w:rsid w:val="00292949"/>
    <w:rsid w:val="00292C1B"/>
    <w:rsid w:val="002951E3"/>
    <w:rsid w:val="00295E2E"/>
    <w:rsid w:val="002960C5"/>
    <w:rsid w:val="00297079"/>
    <w:rsid w:val="002A12B0"/>
    <w:rsid w:val="002A13CB"/>
    <w:rsid w:val="002A359B"/>
    <w:rsid w:val="002A4F17"/>
    <w:rsid w:val="002B6EFC"/>
    <w:rsid w:val="002C2302"/>
    <w:rsid w:val="002C5C7C"/>
    <w:rsid w:val="002C7453"/>
    <w:rsid w:val="002D134A"/>
    <w:rsid w:val="002D1D18"/>
    <w:rsid w:val="002D5E88"/>
    <w:rsid w:val="002D6FAD"/>
    <w:rsid w:val="002D7150"/>
    <w:rsid w:val="002E0CDC"/>
    <w:rsid w:val="002E3500"/>
    <w:rsid w:val="002E460E"/>
    <w:rsid w:val="002E5331"/>
    <w:rsid w:val="002E6759"/>
    <w:rsid w:val="002F1271"/>
    <w:rsid w:val="002F15BD"/>
    <w:rsid w:val="002F5B77"/>
    <w:rsid w:val="002F5D61"/>
    <w:rsid w:val="0030270E"/>
    <w:rsid w:val="00302FCE"/>
    <w:rsid w:val="00303AFC"/>
    <w:rsid w:val="00305E62"/>
    <w:rsid w:val="003120D4"/>
    <w:rsid w:val="00312863"/>
    <w:rsid w:val="003133C9"/>
    <w:rsid w:val="00314258"/>
    <w:rsid w:val="00315F53"/>
    <w:rsid w:val="0031628C"/>
    <w:rsid w:val="003203EA"/>
    <w:rsid w:val="003214C3"/>
    <w:rsid w:val="00323759"/>
    <w:rsid w:val="00323ED1"/>
    <w:rsid w:val="00324735"/>
    <w:rsid w:val="0032528B"/>
    <w:rsid w:val="003266DF"/>
    <w:rsid w:val="00331675"/>
    <w:rsid w:val="00331B7F"/>
    <w:rsid w:val="00333A1E"/>
    <w:rsid w:val="00333E20"/>
    <w:rsid w:val="00341CEF"/>
    <w:rsid w:val="00344DAC"/>
    <w:rsid w:val="00346494"/>
    <w:rsid w:val="00351CD6"/>
    <w:rsid w:val="0035399E"/>
    <w:rsid w:val="0035563D"/>
    <w:rsid w:val="00361E8C"/>
    <w:rsid w:val="0037098F"/>
    <w:rsid w:val="003724FA"/>
    <w:rsid w:val="00373609"/>
    <w:rsid w:val="00375A9C"/>
    <w:rsid w:val="00381B26"/>
    <w:rsid w:val="00382534"/>
    <w:rsid w:val="00382C8A"/>
    <w:rsid w:val="00385164"/>
    <w:rsid w:val="003866DC"/>
    <w:rsid w:val="0038788E"/>
    <w:rsid w:val="00391B3D"/>
    <w:rsid w:val="003921F7"/>
    <w:rsid w:val="00394118"/>
    <w:rsid w:val="003949C9"/>
    <w:rsid w:val="003A40AA"/>
    <w:rsid w:val="003A7A18"/>
    <w:rsid w:val="003B3761"/>
    <w:rsid w:val="003B3915"/>
    <w:rsid w:val="003B4004"/>
    <w:rsid w:val="003C1EEB"/>
    <w:rsid w:val="003C3AAE"/>
    <w:rsid w:val="003D27B8"/>
    <w:rsid w:val="003D38C0"/>
    <w:rsid w:val="003D5772"/>
    <w:rsid w:val="003D596A"/>
    <w:rsid w:val="003D6437"/>
    <w:rsid w:val="003D712E"/>
    <w:rsid w:val="003D7E75"/>
    <w:rsid w:val="003D7EBE"/>
    <w:rsid w:val="003E272E"/>
    <w:rsid w:val="003E27D4"/>
    <w:rsid w:val="003E6DA1"/>
    <w:rsid w:val="003E6FCE"/>
    <w:rsid w:val="003F119A"/>
    <w:rsid w:val="003F19FE"/>
    <w:rsid w:val="003F330C"/>
    <w:rsid w:val="003F578D"/>
    <w:rsid w:val="003F76C1"/>
    <w:rsid w:val="004010E2"/>
    <w:rsid w:val="004011FD"/>
    <w:rsid w:val="0040246D"/>
    <w:rsid w:val="00406D43"/>
    <w:rsid w:val="0040767D"/>
    <w:rsid w:val="0041741F"/>
    <w:rsid w:val="00424AF5"/>
    <w:rsid w:val="00425870"/>
    <w:rsid w:val="004264AB"/>
    <w:rsid w:val="00430485"/>
    <w:rsid w:val="00434AE2"/>
    <w:rsid w:val="00434F86"/>
    <w:rsid w:val="004354F3"/>
    <w:rsid w:val="00436812"/>
    <w:rsid w:val="00442B70"/>
    <w:rsid w:val="004503EC"/>
    <w:rsid w:val="004507D3"/>
    <w:rsid w:val="00450DF3"/>
    <w:rsid w:val="00451821"/>
    <w:rsid w:val="00451868"/>
    <w:rsid w:val="00454F26"/>
    <w:rsid w:val="00461B13"/>
    <w:rsid w:val="0046442C"/>
    <w:rsid w:val="00466719"/>
    <w:rsid w:val="004729B0"/>
    <w:rsid w:val="004744E0"/>
    <w:rsid w:val="00475945"/>
    <w:rsid w:val="00475D70"/>
    <w:rsid w:val="00481D5E"/>
    <w:rsid w:val="0048231F"/>
    <w:rsid w:val="004839F4"/>
    <w:rsid w:val="004846DD"/>
    <w:rsid w:val="00484F1D"/>
    <w:rsid w:val="00485DF4"/>
    <w:rsid w:val="00486FEE"/>
    <w:rsid w:val="0049322D"/>
    <w:rsid w:val="00496EDF"/>
    <w:rsid w:val="004A320C"/>
    <w:rsid w:val="004A7C2A"/>
    <w:rsid w:val="004B1503"/>
    <w:rsid w:val="004B438B"/>
    <w:rsid w:val="004B4417"/>
    <w:rsid w:val="004C0587"/>
    <w:rsid w:val="004C51EE"/>
    <w:rsid w:val="004C744E"/>
    <w:rsid w:val="004C776E"/>
    <w:rsid w:val="004D0ADF"/>
    <w:rsid w:val="004D1ABE"/>
    <w:rsid w:val="004D3680"/>
    <w:rsid w:val="004D4C83"/>
    <w:rsid w:val="004E0580"/>
    <w:rsid w:val="004E22B6"/>
    <w:rsid w:val="004E3ADB"/>
    <w:rsid w:val="004E55E8"/>
    <w:rsid w:val="004E5A8F"/>
    <w:rsid w:val="004F132C"/>
    <w:rsid w:val="004F420F"/>
    <w:rsid w:val="004F4588"/>
    <w:rsid w:val="004F6CF3"/>
    <w:rsid w:val="004F7B4A"/>
    <w:rsid w:val="00507647"/>
    <w:rsid w:val="00510ACB"/>
    <w:rsid w:val="00515B42"/>
    <w:rsid w:val="00515D0B"/>
    <w:rsid w:val="0051752A"/>
    <w:rsid w:val="00520C4B"/>
    <w:rsid w:val="00521C30"/>
    <w:rsid w:val="00522292"/>
    <w:rsid w:val="00525BA2"/>
    <w:rsid w:val="00530663"/>
    <w:rsid w:val="005358EE"/>
    <w:rsid w:val="005360E6"/>
    <w:rsid w:val="005400DC"/>
    <w:rsid w:val="0054107B"/>
    <w:rsid w:val="00545346"/>
    <w:rsid w:val="0054694C"/>
    <w:rsid w:val="005470A0"/>
    <w:rsid w:val="005476F7"/>
    <w:rsid w:val="00547D16"/>
    <w:rsid w:val="0055022C"/>
    <w:rsid w:val="005549D9"/>
    <w:rsid w:val="00556701"/>
    <w:rsid w:val="00556E29"/>
    <w:rsid w:val="00557BA7"/>
    <w:rsid w:val="00560732"/>
    <w:rsid w:val="00560F08"/>
    <w:rsid w:val="00562477"/>
    <w:rsid w:val="00562F1D"/>
    <w:rsid w:val="00566D6D"/>
    <w:rsid w:val="00572D23"/>
    <w:rsid w:val="00573F94"/>
    <w:rsid w:val="00580DCE"/>
    <w:rsid w:val="00582063"/>
    <w:rsid w:val="00586FB1"/>
    <w:rsid w:val="005A1B28"/>
    <w:rsid w:val="005A28F6"/>
    <w:rsid w:val="005A7684"/>
    <w:rsid w:val="005B0EF0"/>
    <w:rsid w:val="005B1906"/>
    <w:rsid w:val="005B3A4A"/>
    <w:rsid w:val="005B647C"/>
    <w:rsid w:val="005B749B"/>
    <w:rsid w:val="005B7DCB"/>
    <w:rsid w:val="005C00AE"/>
    <w:rsid w:val="005C0744"/>
    <w:rsid w:val="005C1291"/>
    <w:rsid w:val="005C5088"/>
    <w:rsid w:val="005C52F9"/>
    <w:rsid w:val="005D1494"/>
    <w:rsid w:val="005D1DED"/>
    <w:rsid w:val="005D242C"/>
    <w:rsid w:val="005D3DBC"/>
    <w:rsid w:val="005D552A"/>
    <w:rsid w:val="005D79D1"/>
    <w:rsid w:val="005E4120"/>
    <w:rsid w:val="005E4DB0"/>
    <w:rsid w:val="005E6D4A"/>
    <w:rsid w:val="005E6FF1"/>
    <w:rsid w:val="005F075A"/>
    <w:rsid w:val="005F0C58"/>
    <w:rsid w:val="005F1B59"/>
    <w:rsid w:val="005F2E6D"/>
    <w:rsid w:val="005F3FD4"/>
    <w:rsid w:val="005F7BAE"/>
    <w:rsid w:val="00605462"/>
    <w:rsid w:val="006075BA"/>
    <w:rsid w:val="0061396D"/>
    <w:rsid w:val="00614730"/>
    <w:rsid w:val="0061555F"/>
    <w:rsid w:val="00623464"/>
    <w:rsid w:val="00625AD9"/>
    <w:rsid w:val="00630500"/>
    <w:rsid w:val="0063277D"/>
    <w:rsid w:val="00635BE4"/>
    <w:rsid w:val="00640C86"/>
    <w:rsid w:val="006411CD"/>
    <w:rsid w:val="00645008"/>
    <w:rsid w:val="00646047"/>
    <w:rsid w:val="00646957"/>
    <w:rsid w:val="00646C6B"/>
    <w:rsid w:val="00647128"/>
    <w:rsid w:val="0064771E"/>
    <w:rsid w:val="006504CB"/>
    <w:rsid w:val="00651AA9"/>
    <w:rsid w:val="0065259C"/>
    <w:rsid w:val="006529EF"/>
    <w:rsid w:val="00652D15"/>
    <w:rsid w:val="00653377"/>
    <w:rsid w:val="00653861"/>
    <w:rsid w:val="0065662B"/>
    <w:rsid w:val="00657786"/>
    <w:rsid w:val="006607CA"/>
    <w:rsid w:val="00660B1F"/>
    <w:rsid w:val="00664F20"/>
    <w:rsid w:val="0066677E"/>
    <w:rsid w:val="00673CAB"/>
    <w:rsid w:val="00673F17"/>
    <w:rsid w:val="00674C1C"/>
    <w:rsid w:val="00676325"/>
    <w:rsid w:val="00676545"/>
    <w:rsid w:val="00680A06"/>
    <w:rsid w:val="006827B9"/>
    <w:rsid w:val="00683456"/>
    <w:rsid w:val="00683AC5"/>
    <w:rsid w:val="00684AB2"/>
    <w:rsid w:val="00684E74"/>
    <w:rsid w:val="00690163"/>
    <w:rsid w:val="00692578"/>
    <w:rsid w:val="00693171"/>
    <w:rsid w:val="0069433B"/>
    <w:rsid w:val="006A60E5"/>
    <w:rsid w:val="006A7540"/>
    <w:rsid w:val="006B0A1B"/>
    <w:rsid w:val="006B1A20"/>
    <w:rsid w:val="006B2D5D"/>
    <w:rsid w:val="006B3997"/>
    <w:rsid w:val="006B573C"/>
    <w:rsid w:val="006B5C05"/>
    <w:rsid w:val="006C2AF0"/>
    <w:rsid w:val="006C3E97"/>
    <w:rsid w:val="006C4C6E"/>
    <w:rsid w:val="006C632C"/>
    <w:rsid w:val="006D5D71"/>
    <w:rsid w:val="006E24D2"/>
    <w:rsid w:val="006E5616"/>
    <w:rsid w:val="006E5EF6"/>
    <w:rsid w:val="006F522D"/>
    <w:rsid w:val="006F52A2"/>
    <w:rsid w:val="006F7161"/>
    <w:rsid w:val="00704512"/>
    <w:rsid w:val="007047DF"/>
    <w:rsid w:val="007054A9"/>
    <w:rsid w:val="007164E4"/>
    <w:rsid w:val="00716743"/>
    <w:rsid w:val="0071752C"/>
    <w:rsid w:val="00720711"/>
    <w:rsid w:val="00721283"/>
    <w:rsid w:val="00721B74"/>
    <w:rsid w:val="00724480"/>
    <w:rsid w:val="00724B90"/>
    <w:rsid w:val="00741314"/>
    <w:rsid w:val="007416A3"/>
    <w:rsid w:val="00742031"/>
    <w:rsid w:val="00743B2D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709F9"/>
    <w:rsid w:val="00771C57"/>
    <w:rsid w:val="00772083"/>
    <w:rsid w:val="007727CD"/>
    <w:rsid w:val="007740CE"/>
    <w:rsid w:val="0077418B"/>
    <w:rsid w:val="00774D07"/>
    <w:rsid w:val="00774F1A"/>
    <w:rsid w:val="00776CCD"/>
    <w:rsid w:val="00777099"/>
    <w:rsid w:val="00783C8F"/>
    <w:rsid w:val="00783EE0"/>
    <w:rsid w:val="00784AE6"/>
    <w:rsid w:val="00784F4B"/>
    <w:rsid w:val="00792427"/>
    <w:rsid w:val="00793345"/>
    <w:rsid w:val="00795547"/>
    <w:rsid w:val="007A1FBB"/>
    <w:rsid w:val="007A3B2C"/>
    <w:rsid w:val="007A6DED"/>
    <w:rsid w:val="007B657D"/>
    <w:rsid w:val="007B66E7"/>
    <w:rsid w:val="007C239D"/>
    <w:rsid w:val="007C5EAB"/>
    <w:rsid w:val="007C699F"/>
    <w:rsid w:val="007C6B07"/>
    <w:rsid w:val="007C6EBB"/>
    <w:rsid w:val="007E07D2"/>
    <w:rsid w:val="007E1A60"/>
    <w:rsid w:val="007E4575"/>
    <w:rsid w:val="007E4E89"/>
    <w:rsid w:val="007E7A89"/>
    <w:rsid w:val="007F0AD9"/>
    <w:rsid w:val="007F31C2"/>
    <w:rsid w:val="008031A6"/>
    <w:rsid w:val="008035D8"/>
    <w:rsid w:val="00803717"/>
    <w:rsid w:val="008077F1"/>
    <w:rsid w:val="0081108F"/>
    <w:rsid w:val="008116DD"/>
    <w:rsid w:val="00815865"/>
    <w:rsid w:val="008168EE"/>
    <w:rsid w:val="00820C25"/>
    <w:rsid w:val="00820D07"/>
    <w:rsid w:val="00821E0F"/>
    <w:rsid w:val="00821E6F"/>
    <w:rsid w:val="00821FA8"/>
    <w:rsid w:val="0082539A"/>
    <w:rsid w:val="0082600F"/>
    <w:rsid w:val="008301AE"/>
    <w:rsid w:val="00831C99"/>
    <w:rsid w:val="00832EBF"/>
    <w:rsid w:val="0084396B"/>
    <w:rsid w:val="00851589"/>
    <w:rsid w:val="00852158"/>
    <w:rsid w:val="00855B62"/>
    <w:rsid w:val="00856EC7"/>
    <w:rsid w:val="00861D0E"/>
    <w:rsid w:val="00862633"/>
    <w:rsid w:val="008648A3"/>
    <w:rsid w:val="00864E24"/>
    <w:rsid w:val="00865856"/>
    <w:rsid w:val="00872E13"/>
    <w:rsid w:val="00884327"/>
    <w:rsid w:val="00884660"/>
    <w:rsid w:val="008850FB"/>
    <w:rsid w:val="00886BB3"/>
    <w:rsid w:val="00887C3F"/>
    <w:rsid w:val="00890AE9"/>
    <w:rsid w:val="00891E89"/>
    <w:rsid w:val="008A0225"/>
    <w:rsid w:val="008A14BB"/>
    <w:rsid w:val="008A1BF1"/>
    <w:rsid w:val="008A3215"/>
    <w:rsid w:val="008A3B4B"/>
    <w:rsid w:val="008A5AE1"/>
    <w:rsid w:val="008B0FED"/>
    <w:rsid w:val="008B219E"/>
    <w:rsid w:val="008B319C"/>
    <w:rsid w:val="008B7036"/>
    <w:rsid w:val="008C2C66"/>
    <w:rsid w:val="008C542A"/>
    <w:rsid w:val="008C6733"/>
    <w:rsid w:val="008C7422"/>
    <w:rsid w:val="008C7DF1"/>
    <w:rsid w:val="008D0240"/>
    <w:rsid w:val="008D16A1"/>
    <w:rsid w:val="008D16E2"/>
    <w:rsid w:val="008D1DB5"/>
    <w:rsid w:val="008D3759"/>
    <w:rsid w:val="008D5762"/>
    <w:rsid w:val="008D6328"/>
    <w:rsid w:val="008D6873"/>
    <w:rsid w:val="008D6FBD"/>
    <w:rsid w:val="008E131E"/>
    <w:rsid w:val="008E2A61"/>
    <w:rsid w:val="008F0B37"/>
    <w:rsid w:val="008F10D1"/>
    <w:rsid w:val="008F1EC6"/>
    <w:rsid w:val="008F2132"/>
    <w:rsid w:val="008F52B3"/>
    <w:rsid w:val="008F7436"/>
    <w:rsid w:val="008F79B7"/>
    <w:rsid w:val="00901F8C"/>
    <w:rsid w:val="00902941"/>
    <w:rsid w:val="00903E35"/>
    <w:rsid w:val="00907545"/>
    <w:rsid w:val="0091031B"/>
    <w:rsid w:val="00911849"/>
    <w:rsid w:val="00915107"/>
    <w:rsid w:val="00916687"/>
    <w:rsid w:val="00916EB2"/>
    <w:rsid w:val="0092013B"/>
    <w:rsid w:val="00921DC0"/>
    <w:rsid w:val="0092588F"/>
    <w:rsid w:val="0092672B"/>
    <w:rsid w:val="009420C4"/>
    <w:rsid w:val="00944EE3"/>
    <w:rsid w:val="009456F5"/>
    <w:rsid w:val="00946B4B"/>
    <w:rsid w:val="00946FD9"/>
    <w:rsid w:val="00950201"/>
    <w:rsid w:val="0095059C"/>
    <w:rsid w:val="00953BBF"/>
    <w:rsid w:val="00954C24"/>
    <w:rsid w:val="00955C69"/>
    <w:rsid w:val="00955EA8"/>
    <w:rsid w:val="00957E14"/>
    <w:rsid w:val="00960903"/>
    <w:rsid w:val="00960D76"/>
    <w:rsid w:val="00962A4D"/>
    <w:rsid w:val="00966734"/>
    <w:rsid w:val="0097187E"/>
    <w:rsid w:val="009801BA"/>
    <w:rsid w:val="0098212D"/>
    <w:rsid w:val="0098763F"/>
    <w:rsid w:val="00990B70"/>
    <w:rsid w:val="0099247A"/>
    <w:rsid w:val="00996039"/>
    <w:rsid w:val="009A00D3"/>
    <w:rsid w:val="009A07C7"/>
    <w:rsid w:val="009A1C4A"/>
    <w:rsid w:val="009A26EC"/>
    <w:rsid w:val="009A521F"/>
    <w:rsid w:val="009A5C33"/>
    <w:rsid w:val="009A5EDC"/>
    <w:rsid w:val="009B1199"/>
    <w:rsid w:val="009B11A5"/>
    <w:rsid w:val="009B26B2"/>
    <w:rsid w:val="009B4E00"/>
    <w:rsid w:val="009B5647"/>
    <w:rsid w:val="009B7DA2"/>
    <w:rsid w:val="009C1CDF"/>
    <w:rsid w:val="009C3762"/>
    <w:rsid w:val="009C78BF"/>
    <w:rsid w:val="009D1180"/>
    <w:rsid w:val="009D1AA5"/>
    <w:rsid w:val="009D25C4"/>
    <w:rsid w:val="009D3C3E"/>
    <w:rsid w:val="009D58D4"/>
    <w:rsid w:val="009E470B"/>
    <w:rsid w:val="009E6937"/>
    <w:rsid w:val="009E7BBF"/>
    <w:rsid w:val="009F077B"/>
    <w:rsid w:val="009F0AE3"/>
    <w:rsid w:val="009F1573"/>
    <w:rsid w:val="009F4F44"/>
    <w:rsid w:val="009F63C5"/>
    <w:rsid w:val="00A02266"/>
    <w:rsid w:val="00A03F96"/>
    <w:rsid w:val="00A07089"/>
    <w:rsid w:val="00A10ACD"/>
    <w:rsid w:val="00A16D14"/>
    <w:rsid w:val="00A16F8A"/>
    <w:rsid w:val="00A17AA1"/>
    <w:rsid w:val="00A21BA5"/>
    <w:rsid w:val="00A2317F"/>
    <w:rsid w:val="00A24FC2"/>
    <w:rsid w:val="00A30B31"/>
    <w:rsid w:val="00A34754"/>
    <w:rsid w:val="00A40891"/>
    <w:rsid w:val="00A40A3F"/>
    <w:rsid w:val="00A419BD"/>
    <w:rsid w:val="00A43EBA"/>
    <w:rsid w:val="00A54888"/>
    <w:rsid w:val="00A56F7E"/>
    <w:rsid w:val="00A637C7"/>
    <w:rsid w:val="00A66E77"/>
    <w:rsid w:val="00A67106"/>
    <w:rsid w:val="00A71322"/>
    <w:rsid w:val="00A71395"/>
    <w:rsid w:val="00A71487"/>
    <w:rsid w:val="00A742EE"/>
    <w:rsid w:val="00A8082C"/>
    <w:rsid w:val="00A8100E"/>
    <w:rsid w:val="00A84439"/>
    <w:rsid w:val="00A8769E"/>
    <w:rsid w:val="00A90151"/>
    <w:rsid w:val="00A911FE"/>
    <w:rsid w:val="00A91615"/>
    <w:rsid w:val="00A9299F"/>
    <w:rsid w:val="00A95AE3"/>
    <w:rsid w:val="00A95BD9"/>
    <w:rsid w:val="00A972F5"/>
    <w:rsid w:val="00AA1CB5"/>
    <w:rsid w:val="00AA41E7"/>
    <w:rsid w:val="00AA459E"/>
    <w:rsid w:val="00AA4A3B"/>
    <w:rsid w:val="00AA5602"/>
    <w:rsid w:val="00AB0DA1"/>
    <w:rsid w:val="00AB2926"/>
    <w:rsid w:val="00AB58A6"/>
    <w:rsid w:val="00AB7114"/>
    <w:rsid w:val="00AC0985"/>
    <w:rsid w:val="00AC0DB7"/>
    <w:rsid w:val="00AC2C1C"/>
    <w:rsid w:val="00AC3FF8"/>
    <w:rsid w:val="00AD09E9"/>
    <w:rsid w:val="00AE0AE8"/>
    <w:rsid w:val="00AE10E4"/>
    <w:rsid w:val="00AE26BA"/>
    <w:rsid w:val="00AE296E"/>
    <w:rsid w:val="00AE3AE6"/>
    <w:rsid w:val="00AF1D33"/>
    <w:rsid w:val="00AF357D"/>
    <w:rsid w:val="00AF40FC"/>
    <w:rsid w:val="00AF6A59"/>
    <w:rsid w:val="00B013B8"/>
    <w:rsid w:val="00B06C61"/>
    <w:rsid w:val="00B07C82"/>
    <w:rsid w:val="00B10F27"/>
    <w:rsid w:val="00B13F10"/>
    <w:rsid w:val="00B24866"/>
    <w:rsid w:val="00B27FCD"/>
    <w:rsid w:val="00B30718"/>
    <w:rsid w:val="00B3219B"/>
    <w:rsid w:val="00B340AE"/>
    <w:rsid w:val="00B36E4A"/>
    <w:rsid w:val="00B36EBE"/>
    <w:rsid w:val="00B371AB"/>
    <w:rsid w:val="00B4348A"/>
    <w:rsid w:val="00B45314"/>
    <w:rsid w:val="00B51A2B"/>
    <w:rsid w:val="00B5271A"/>
    <w:rsid w:val="00B54042"/>
    <w:rsid w:val="00B540BE"/>
    <w:rsid w:val="00B552A5"/>
    <w:rsid w:val="00B55308"/>
    <w:rsid w:val="00B55721"/>
    <w:rsid w:val="00B55BCA"/>
    <w:rsid w:val="00B60380"/>
    <w:rsid w:val="00B610FB"/>
    <w:rsid w:val="00B6352F"/>
    <w:rsid w:val="00B65C8A"/>
    <w:rsid w:val="00B67B73"/>
    <w:rsid w:val="00B67EEC"/>
    <w:rsid w:val="00B701CB"/>
    <w:rsid w:val="00B709C8"/>
    <w:rsid w:val="00B740C3"/>
    <w:rsid w:val="00B7633F"/>
    <w:rsid w:val="00B81A10"/>
    <w:rsid w:val="00B81E5C"/>
    <w:rsid w:val="00B82E7A"/>
    <w:rsid w:val="00B8653E"/>
    <w:rsid w:val="00B91EC4"/>
    <w:rsid w:val="00B94985"/>
    <w:rsid w:val="00B967B4"/>
    <w:rsid w:val="00BA64DF"/>
    <w:rsid w:val="00BA659D"/>
    <w:rsid w:val="00BB00F0"/>
    <w:rsid w:val="00BB036F"/>
    <w:rsid w:val="00BB1196"/>
    <w:rsid w:val="00BB1D17"/>
    <w:rsid w:val="00BB330A"/>
    <w:rsid w:val="00BB5B97"/>
    <w:rsid w:val="00BB7AF4"/>
    <w:rsid w:val="00BC1C89"/>
    <w:rsid w:val="00BD39CE"/>
    <w:rsid w:val="00BD5F30"/>
    <w:rsid w:val="00BD5FF1"/>
    <w:rsid w:val="00BE1A8A"/>
    <w:rsid w:val="00BE2DDF"/>
    <w:rsid w:val="00BE3D27"/>
    <w:rsid w:val="00BE794F"/>
    <w:rsid w:val="00BF5B16"/>
    <w:rsid w:val="00C0069B"/>
    <w:rsid w:val="00C022A4"/>
    <w:rsid w:val="00C02CD2"/>
    <w:rsid w:val="00C04712"/>
    <w:rsid w:val="00C10C12"/>
    <w:rsid w:val="00C14F91"/>
    <w:rsid w:val="00C166CE"/>
    <w:rsid w:val="00C17FD0"/>
    <w:rsid w:val="00C210E9"/>
    <w:rsid w:val="00C22079"/>
    <w:rsid w:val="00C24415"/>
    <w:rsid w:val="00C26061"/>
    <w:rsid w:val="00C275F6"/>
    <w:rsid w:val="00C3055E"/>
    <w:rsid w:val="00C32EE2"/>
    <w:rsid w:val="00C330DD"/>
    <w:rsid w:val="00C3417B"/>
    <w:rsid w:val="00C35E0E"/>
    <w:rsid w:val="00C44E51"/>
    <w:rsid w:val="00C47213"/>
    <w:rsid w:val="00C531A1"/>
    <w:rsid w:val="00C5378B"/>
    <w:rsid w:val="00C54BD5"/>
    <w:rsid w:val="00C55791"/>
    <w:rsid w:val="00C56178"/>
    <w:rsid w:val="00C5795D"/>
    <w:rsid w:val="00C615AD"/>
    <w:rsid w:val="00C62411"/>
    <w:rsid w:val="00C62C56"/>
    <w:rsid w:val="00C62D20"/>
    <w:rsid w:val="00C64445"/>
    <w:rsid w:val="00C6627E"/>
    <w:rsid w:val="00C6777F"/>
    <w:rsid w:val="00C75834"/>
    <w:rsid w:val="00C81248"/>
    <w:rsid w:val="00C81AC5"/>
    <w:rsid w:val="00C8275A"/>
    <w:rsid w:val="00C8407A"/>
    <w:rsid w:val="00C85AE8"/>
    <w:rsid w:val="00C94416"/>
    <w:rsid w:val="00C944C3"/>
    <w:rsid w:val="00CA30A6"/>
    <w:rsid w:val="00CB23AD"/>
    <w:rsid w:val="00CB36B5"/>
    <w:rsid w:val="00CB5726"/>
    <w:rsid w:val="00CC0AF8"/>
    <w:rsid w:val="00CC1A8D"/>
    <w:rsid w:val="00CC456A"/>
    <w:rsid w:val="00CD267F"/>
    <w:rsid w:val="00CD4414"/>
    <w:rsid w:val="00CD57AD"/>
    <w:rsid w:val="00CD5B77"/>
    <w:rsid w:val="00CD71F5"/>
    <w:rsid w:val="00CD778D"/>
    <w:rsid w:val="00CE31D7"/>
    <w:rsid w:val="00CE3200"/>
    <w:rsid w:val="00CE5195"/>
    <w:rsid w:val="00CE5244"/>
    <w:rsid w:val="00CE5251"/>
    <w:rsid w:val="00CE5416"/>
    <w:rsid w:val="00CF2264"/>
    <w:rsid w:val="00CF7028"/>
    <w:rsid w:val="00D026C6"/>
    <w:rsid w:val="00D04DB8"/>
    <w:rsid w:val="00D07004"/>
    <w:rsid w:val="00D12341"/>
    <w:rsid w:val="00D12F4C"/>
    <w:rsid w:val="00D30671"/>
    <w:rsid w:val="00D319CD"/>
    <w:rsid w:val="00D321A0"/>
    <w:rsid w:val="00D330A6"/>
    <w:rsid w:val="00D3328D"/>
    <w:rsid w:val="00D41658"/>
    <w:rsid w:val="00D4219A"/>
    <w:rsid w:val="00D427D5"/>
    <w:rsid w:val="00D43116"/>
    <w:rsid w:val="00D43813"/>
    <w:rsid w:val="00D45001"/>
    <w:rsid w:val="00D45644"/>
    <w:rsid w:val="00D47BA5"/>
    <w:rsid w:val="00D52ECE"/>
    <w:rsid w:val="00D56D05"/>
    <w:rsid w:val="00D574EB"/>
    <w:rsid w:val="00D61BC8"/>
    <w:rsid w:val="00D62DD6"/>
    <w:rsid w:val="00D63A3C"/>
    <w:rsid w:val="00D63F41"/>
    <w:rsid w:val="00D6506C"/>
    <w:rsid w:val="00D655FA"/>
    <w:rsid w:val="00D74B9D"/>
    <w:rsid w:val="00D752F3"/>
    <w:rsid w:val="00D82D70"/>
    <w:rsid w:val="00D8460D"/>
    <w:rsid w:val="00D908F6"/>
    <w:rsid w:val="00D90D81"/>
    <w:rsid w:val="00D91776"/>
    <w:rsid w:val="00D91A67"/>
    <w:rsid w:val="00D92F08"/>
    <w:rsid w:val="00D97F2C"/>
    <w:rsid w:val="00DA1C4D"/>
    <w:rsid w:val="00DA1F55"/>
    <w:rsid w:val="00DA490B"/>
    <w:rsid w:val="00DA50D5"/>
    <w:rsid w:val="00DB2334"/>
    <w:rsid w:val="00DB2380"/>
    <w:rsid w:val="00DB2B50"/>
    <w:rsid w:val="00DB3348"/>
    <w:rsid w:val="00DB68DE"/>
    <w:rsid w:val="00DC0DAA"/>
    <w:rsid w:val="00DC22BC"/>
    <w:rsid w:val="00DD1BDB"/>
    <w:rsid w:val="00DD53DF"/>
    <w:rsid w:val="00DE054C"/>
    <w:rsid w:val="00DE23A1"/>
    <w:rsid w:val="00DE6457"/>
    <w:rsid w:val="00DE779B"/>
    <w:rsid w:val="00DE791A"/>
    <w:rsid w:val="00DE7E5D"/>
    <w:rsid w:val="00DF04CB"/>
    <w:rsid w:val="00DF2A92"/>
    <w:rsid w:val="00DF2DA8"/>
    <w:rsid w:val="00DF3E1B"/>
    <w:rsid w:val="00DF3FB5"/>
    <w:rsid w:val="00DF4201"/>
    <w:rsid w:val="00DF6041"/>
    <w:rsid w:val="00DF69A4"/>
    <w:rsid w:val="00DF705F"/>
    <w:rsid w:val="00E00127"/>
    <w:rsid w:val="00E05D99"/>
    <w:rsid w:val="00E070A2"/>
    <w:rsid w:val="00E105C4"/>
    <w:rsid w:val="00E10A3F"/>
    <w:rsid w:val="00E10BA8"/>
    <w:rsid w:val="00E16F93"/>
    <w:rsid w:val="00E200FB"/>
    <w:rsid w:val="00E21B4A"/>
    <w:rsid w:val="00E23318"/>
    <w:rsid w:val="00E25D87"/>
    <w:rsid w:val="00E2649F"/>
    <w:rsid w:val="00E27FAD"/>
    <w:rsid w:val="00E3337A"/>
    <w:rsid w:val="00E34AAA"/>
    <w:rsid w:val="00E35A99"/>
    <w:rsid w:val="00E40B44"/>
    <w:rsid w:val="00E47BE0"/>
    <w:rsid w:val="00E55A19"/>
    <w:rsid w:val="00E56688"/>
    <w:rsid w:val="00E56D50"/>
    <w:rsid w:val="00E63AFB"/>
    <w:rsid w:val="00E6407D"/>
    <w:rsid w:val="00E6512B"/>
    <w:rsid w:val="00E6574E"/>
    <w:rsid w:val="00E65D9D"/>
    <w:rsid w:val="00E71358"/>
    <w:rsid w:val="00E720D9"/>
    <w:rsid w:val="00E7270A"/>
    <w:rsid w:val="00E73ACD"/>
    <w:rsid w:val="00E74A7F"/>
    <w:rsid w:val="00E7566B"/>
    <w:rsid w:val="00E76917"/>
    <w:rsid w:val="00E76AED"/>
    <w:rsid w:val="00E84818"/>
    <w:rsid w:val="00E873EF"/>
    <w:rsid w:val="00E90745"/>
    <w:rsid w:val="00E94051"/>
    <w:rsid w:val="00E96ADD"/>
    <w:rsid w:val="00E97237"/>
    <w:rsid w:val="00EA7001"/>
    <w:rsid w:val="00EA7B17"/>
    <w:rsid w:val="00EB0EE6"/>
    <w:rsid w:val="00EB588E"/>
    <w:rsid w:val="00EB7572"/>
    <w:rsid w:val="00EC2E7C"/>
    <w:rsid w:val="00EC2F5F"/>
    <w:rsid w:val="00EC3E37"/>
    <w:rsid w:val="00EC66DE"/>
    <w:rsid w:val="00ED79B6"/>
    <w:rsid w:val="00EE14AF"/>
    <w:rsid w:val="00EE175F"/>
    <w:rsid w:val="00EF13C4"/>
    <w:rsid w:val="00EF2AC7"/>
    <w:rsid w:val="00EF7B90"/>
    <w:rsid w:val="00F01744"/>
    <w:rsid w:val="00F01DFC"/>
    <w:rsid w:val="00F0229E"/>
    <w:rsid w:val="00F025F0"/>
    <w:rsid w:val="00F10436"/>
    <w:rsid w:val="00F14FDE"/>
    <w:rsid w:val="00F203C2"/>
    <w:rsid w:val="00F2323A"/>
    <w:rsid w:val="00F249B1"/>
    <w:rsid w:val="00F26827"/>
    <w:rsid w:val="00F31C6E"/>
    <w:rsid w:val="00F3288B"/>
    <w:rsid w:val="00F3663A"/>
    <w:rsid w:val="00F37DBB"/>
    <w:rsid w:val="00F41395"/>
    <w:rsid w:val="00F41737"/>
    <w:rsid w:val="00F42A53"/>
    <w:rsid w:val="00F46D10"/>
    <w:rsid w:val="00F506D8"/>
    <w:rsid w:val="00F5185B"/>
    <w:rsid w:val="00F522CD"/>
    <w:rsid w:val="00F52B20"/>
    <w:rsid w:val="00F547AE"/>
    <w:rsid w:val="00F54E67"/>
    <w:rsid w:val="00F55061"/>
    <w:rsid w:val="00F56A8C"/>
    <w:rsid w:val="00F6002B"/>
    <w:rsid w:val="00F60963"/>
    <w:rsid w:val="00F646C5"/>
    <w:rsid w:val="00F64B79"/>
    <w:rsid w:val="00F64BF2"/>
    <w:rsid w:val="00F66E00"/>
    <w:rsid w:val="00F6770D"/>
    <w:rsid w:val="00F67D79"/>
    <w:rsid w:val="00F67EED"/>
    <w:rsid w:val="00F67F3A"/>
    <w:rsid w:val="00F67F57"/>
    <w:rsid w:val="00F70526"/>
    <w:rsid w:val="00F85121"/>
    <w:rsid w:val="00F9140D"/>
    <w:rsid w:val="00F92D56"/>
    <w:rsid w:val="00F93CD6"/>
    <w:rsid w:val="00F94470"/>
    <w:rsid w:val="00F97C0C"/>
    <w:rsid w:val="00FA2042"/>
    <w:rsid w:val="00FA7B2D"/>
    <w:rsid w:val="00FB4A58"/>
    <w:rsid w:val="00FB524A"/>
    <w:rsid w:val="00FB560E"/>
    <w:rsid w:val="00FB56EE"/>
    <w:rsid w:val="00FB5D97"/>
    <w:rsid w:val="00FB644E"/>
    <w:rsid w:val="00FB747A"/>
    <w:rsid w:val="00FC0C52"/>
    <w:rsid w:val="00FC1A0F"/>
    <w:rsid w:val="00FC3032"/>
    <w:rsid w:val="00FC4DBA"/>
    <w:rsid w:val="00FC6ECF"/>
    <w:rsid w:val="00FD1AE5"/>
    <w:rsid w:val="00FD2632"/>
    <w:rsid w:val="00FD3141"/>
    <w:rsid w:val="00FD60DA"/>
    <w:rsid w:val="00FD6C7A"/>
    <w:rsid w:val="00FD6FC4"/>
    <w:rsid w:val="00FE0740"/>
    <w:rsid w:val="00FE07F2"/>
    <w:rsid w:val="00FE1A5E"/>
    <w:rsid w:val="00FE40D7"/>
    <w:rsid w:val="00FE452A"/>
    <w:rsid w:val="00FE7CA8"/>
    <w:rsid w:val="00FF02A9"/>
    <w:rsid w:val="00FF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6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789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0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1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026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8632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38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84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7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5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69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529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638211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725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081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58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6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yperlink" Target="https://www.linkedin.com/company/zwiazek-polskiego-leasingu-zpl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leasing.org.pl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hyperlink" Target="https://twitter.com/ZwiazekLeasing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8</Pages>
  <Words>1141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56</cp:revision>
  <cp:lastPrinted>2026-08-18T11:23:00Z</cp:lastPrinted>
  <dcterms:created xsi:type="dcterms:W3CDTF">2026-07-21T14:24:00Z</dcterms:created>
  <dcterms:modified xsi:type="dcterms:W3CDTF">2026-08-24T11:34:00Z</dcterms:modified>
</cp:coreProperties>
</file>