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181" w14:textId="001EFB4F" w:rsidR="005E6FF1" w:rsidRPr="00AD4E46" w:rsidRDefault="00133576" w:rsidP="00EA7001">
      <w:pPr>
        <w:pStyle w:val="Tekstpodstawowy"/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Informacja prasowa</w:t>
      </w:r>
    </w:p>
    <w:p w14:paraId="4327EF58" w14:textId="49BEE141" w:rsidR="00FC1B2D" w:rsidRDefault="00435967" w:rsidP="0062588B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435967">
        <w:rPr>
          <w:rFonts w:cstheme="minorHAnsi"/>
          <w:b/>
          <w:bCs/>
          <w:color w:val="0070C0"/>
          <w:sz w:val="32"/>
          <w:szCs w:val="32"/>
        </w:rPr>
        <w:t>Polski leasing rośnie trzy razy szybciej niż europejski</w:t>
      </w:r>
    </w:p>
    <w:p w14:paraId="7D62A733" w14:textId="77777777" w:rsidR="003C7F49" w:rsidRDefault="003C7F49" w:rsidP="0062588B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3F52ACD1" w14:textId="403A8654" w:rsidR="007B5BF4" w:rsidRPr="007B5BF4" w:rsidRDefault="007B5BF4" w:rsidP="0059644F">
      <w:pPr>
        <w:numPr>
          <w:ilvl w:val="0"/>
          <w:numId w:val="43"/>
        </w:numPr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 w:rsidRPr="007B5BF4">
        <w:rPr>
          <w:rFonts w:cstheme="minorHAnsi"/>
          <w:b/>
          <w:bCs/>
          <w:sz w:val="28"/>
          <w:szCs w:val="28"/>
        </w:rPr>
        <w:t>Polska piątym największym rynkiem leasingowym w Europi</w:t>
      </w:r>
      <w:r>
        <w:rPr>
          <w:rFonts w:cstheme="minorHAnsi"/>
          <w:b/>
          <w:bCs/>
          <w:sz w:val="28"/>
          <w:szCs w:val="28"/>
        </w:rPr>
        <w:t>e</w:t>
      </w:r>
    </w:p>
    <w:p w14:paraId="61BCAEF5" w14:textId="2D9B773F" w:rsidR="007B5BF4" w:rsidRPr="007B5BF4" w:rsidRDefault="007B5BF4" w:rsidP="0059644F">
      <w:pPr>
        <w:numPr>
          <w:ilvl w:val="0"/>
          <w:numId w:val="43"/>
        </w:numPr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 w:rsidRPr="007B5BF4">
        <w:rPr>
          <w:rFonts w:cstheme="minorHAnsi"/>
          <w:b/>
          <w:bCs/>
          <w:sz w:val="28"/>
          <w:szCs w:val="28"/>
        </w:rPr>
        <w:t>28,2 mld euro nowego finansowania w 2025 roku</w:t>
      </w:r>
    </w:p>
    <w:p w14:paraId="1E90CF76" w14:textId="73195237" w:rsidR="007B5BF4" w:rsidRPr="007B5BF4" w:rsidRDefault="007B5BF4" w:rsidP="0059644F">
      <w:pPr>
        <w:numPr>
          <w:ilvl w:val="0"/>
          <w:numId w:val="43"/>
        </w:numPr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 w:rsidRPr="007B5BF4">
        <w:rPr>
          <w:rFonts w:cstheme="minorHAnsi"/>
          <w:b/>
          <w:bCs/>
          <w:sz w:val="28"/>
          <w:szCs w:val="28"/>
        </w:rPr>
        <w:t>Wzrost o 9,9 proc. – ponad trzykrotnie szybciej niż średnio w Europie (3,2 proc.)</w:t>
      </w:r>
    </w:p>
    <w:p w14:paraId="50145E51" w14:textId="77777777" w:rsidR="0059644F" w:rsidRPr="0059644F" w:rsidRDefault="0059644F" w:rsidP="0059644F">
      <w:pPr>
        <w:pStyle w:val="Akapitzlist"/>
        <w:numPr>
          <w:ilvl w:val="0"/>
          <w:numId w:val="43"/>
        </w:numPr>
        <w:spacing w:before="100" w:beforeAutospacing="1" w:after="100" w:afterAutospacing="1" w:line="360" w:lineRule="auto"/>
        <w:rPr>
          <w:rFonts w:cstheme="minorHAnsi"/>
          <w:b/>
          <w:bCs/>
          <w:sz w:val="28"/>
          <w:szCs w:val="28"/>
        </w:rPr>
      </w:pPr>
      <w:r w:rsidRPr="0059644F">
        <w:rPr>
          <w:rFonts w:cstheme="minorHAnsi"/>
          <w:b/>
          <w:bCs/>
          <w:sz w:val="28"/>
          <w:szCs w:val="28"/>
        </w:rPr>
        <w:t>Leasing finansuje 42 proc. inwestycji w maszyny, urządzenia i pojazdy w Polsce – wobec 28 proc. średnio w Europie.</w:t>
      </w:r>
    </w:p>
    <w:p w14:paraId="5517B5E5" w14:textId="5850BA79" w:rsidR="007B5BF4" w:rsidRPr="007B5BF4" w:rsidRDefault="007B5BF4" w:rsidP="0059644F">
      <w:pPr>
        <w:numPr>
          <w:ilvl w:val="0"/>
          <w:numId w:val="43"/>
        </w:numPr>
        <w:spacing w:line="36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Wyniki</w:t>
      </w:r>
      <w:r w:rsidRPr="007B5BF4">
        <w:rPr>
          <w:rFonts w:cstheme="minorHAnsi"/>
          <w:b/>
          <w:bCs/>
          <w:sz w:val="28"/>
          <w:szCs w:val="28"/>
        </w:rPr>
        <w:t xml:space="preserve"> najnowsz</w:t>
      </w:r>
      <w:r>
        <w:rPr>
          <w:rFonts w:cstheme="minorHAnsi"/>
          <w:b/>
          <w:bCs/>
          <w:sz w:val="28"/>
          <w:szCs w:val="28"/>
        </w:rPr>
        <w:t>ego</w:t>
      </w:r>
      <w:r w:rsidRPr="007B5BF4">
        <w:rPr>
          <w:rFonts w:cstheme="minorHAnsi"/>
          <w:b/>
          <w:bCs/>
          <w:sz w:val="28"/>
          <w:szCs w:val="28"/>
        </w:rPr>
        <w:t xml:space="preserve"> raport</w:t>
      </w:r>
      <w:r>
        <w:rPr>
          <w:rFonts w:cstheme="minorHAnsi"/>
          <w:b/>
          <w:bCs/>
          <w:sz w:val="28"/>
          <w:szCs w:val="28"/>
        </w:rPr>
        <w:t>u</w:t>
      </w:r>
      <w:r w:rsidRPr="007B5BF4">
        <w:rPr>
          <w:rFonts w:cstheme="minorHAnsi"/>
          <w:b/>
          <w:bCs/>
          <w:sz w:val="28"/>
          <w:szCs w:val="28"/>
        </w:rPr>
        <w:t xml:space="preserve"> Leaseurope za 2025 rok</w:t>
      </w:r>
    </w:p>
    <w:p w14:paraId="2594614B" w14:textId="77777777" w:rsidR="00B56EDC" w:rsidRPr="00B56EDC" w:rsidRDefault="00B56EDC" w:rsidP="0062588B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312A949A" w14:textId="3FDBB7D0" w:rsidR="0062588B" w:rsidRDefault="0062588B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FC1B2D">
        <w:rPr>
          <w:rFonts w:cstheme="minorHAnsi"/>
          <w:b/>
          <w:bCs/>
          <w:sz w:val="22"/>
          <w:szCs w:val="22"/>
        </w:rPr>
        <w:t>Warszawa, 2</w:t>
      </w:r>
      <w:r w:rsidR="0039255D">
        <w:rPr>
          <w:rFonts w:cstheme="minorHAnsi"/>
          <w:b/>
          <w:bCs/>
          <w:sz w:val="22"/>
          <w:szCs w:val="22"/>
        </w:rPr>
        <w:t>3</w:t>
      </w:r>
      <w:r w:rsidRPr="00FC1B2D">
        <w:rPr>
          <w:rFonts w:cstheme="minorHAnsi"/>
          <w:b/>
          <w:bCs/>
          <w:sz w:val="22"/>
          <w:szCs w:val="22"/>
        </w:rPr>
        <w:t xml:space="preserve"> października 2026 r.</w:t>
      </w:r>
      <w:r w:rsidRPr="0062588B">
        <w:rPr>
          <w:rFonts w:cstheme="minorHAnsi"/>
          <w:sz w:val="22"/>
          <w:szCs w:val="22"/>
        </w:rPr>
        <w:t xml:space="preserve"> – Polska utrzymała piątą pozycję wśród największych rynków leasingowych w Europie. W 2025 roku wartość nowego finansowania wyniosła 28,2 mld euro, co oznacza wzrost o 9,9 proc. rok do roku, wobec 3,2 proc. dla całego rynku europejskiego. Polska zajmuje również drugie miejsce pod względem udziału leasingu w finansowaniu inwestycji w maszyny, urządzenia i pojazdy. Wskaźnik ten wynosi 42 proc., przy średniej europejskiej na poziomie 28 proc. – wynika z najnowszego raportu Leaseurope </w:t>
      </w:r>
      <w:r w:rsidR="00C13E12">
        <w:rPr>
          <w:rFonts w:cstheme="minorHAnsi"/>
          <w:sz w:val="22"/>
          <w:szCs w:val="22"/>
        </w:rPr>
        <w:t>za</w:t>
      </w:r>
      <w:r w:rsidRPr="0062588B">
        <w:rPr>
          <w:rFonts w:cstheme="minorHAnsi"/>
          <w:sz w:val="22"/>
          <w:szCs w:val="22"/>
        </w:rPr>
        <w:t xml:space="preserve"> 2025</w:t>
      </w:r>
      <w:r w:rsidR="00C13E12">
        <w:rPr>
          <w:rFonts w:cstheme="minorHAnsi"/>
          <w:sz w:val="22"/>
          <w:szCs w:val="22"/>
        </w:rPr>
        <w:t xml:space="preserve"> rok.</w:t>
      </w:r>
    </w:p>
    <w:p w14:paraId="7F59F753" w14:textId="77777777" w:rsidR="00EC78A5" w:rsidRPr="0062588B" w:rsidRDefault="00EC78A5" w:rsidP="0062588B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49939756" w14:textId="1898F107" w:rsidR="0062588B" w:rsidRDefault="0062588B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62588B">
        <w:rPr>
          <w:rFonts w:cstheme="minorHAnsi"/>
          <w:sz w:val="22"/>
          <w:szCs w:val="22"/>
        </w:rPr>
        <w:t>Europejski rynek leasingu zakończył 2025 rok wzrostem. Wartość nowego finansowania udzielonego przez firmy reprezentowane przez organizacje członkowskie Leaseurope wyniosła 464 mld euro, o 3,2 proc. więcej niż rok wcześniej. Łączna wartość aktywnego portfela leasingowego osiągnęła 1</w:t>
      </w:r>
      <w:r w:rsidR="00615150">
        <w:rPr>
          <w:rFonts w:cstheme="minorHAnsi"/>
          <w:sz w:val="22"/>
          <w:szCs w:val="22"/>
        </w:rPr>
        <w:t>,</w:t>
      </w:r>
      <w:r w:rsidRPr="0062588B">
        <w:rPr>
          <w:rFonts w:cstheme="minorHAnsi"/>
          <w:sz w:val="22"/>
          <w:szCs w:val="22"/>
        </w:rPr>
        <w:t xml:space="preserve">02 </w:t>
      </w:r>
      <w:r w:rsidR="00615150">
        <w:rPr>
          <w:rFonts w:cstheme="minorHAnsi"/>
          <w:sz w:val="22"/>
          <w:szCs w:val="22"/>
        </w:rPr>
        <w:t>bln</w:t>
      </w:r>
      <w:r w:rsidRPr="0062588B">
        <w:rPr>
          <w:rFonts w:cstheme="minorHAnsi"/>
          <w:sz w:val="22"/>
          <w:szCs w:val="22"/>
        </w:rPr>
        <w:t xml:space="preserve"> euro</w:t>
      </w:r>
      <w:r w:rsidR="00D40C61">
        <w:rPr>
          <w:rFonts w:cstheme="minorHAnsi"/>
          <w:sz w:val="22"/>
          <w:szCs w:val="22"/>
        </w:rPr>
        <w:t xml:space="preserve">. Wzrost wyniósł </w:t>
      </w:r>
      <w:r w:rsidRPr="0062588B">
        <w:rPr>
          <w:rFonts w:cstheme="minorHAnsi"/>
          <w:sz w:val="22"/>
          <w:szCs w:val="22"/>
        </w:rPr>
        <w:t>4 proc. rok do roku.</w:t>
      </w:r>
    </w:p>
    <w:p w14:paraId="18505D4F" w14:textId="77777777" w:rsidR="00CC51F2" w:rsidRDefault="00E86052" w:rsidP="0062588B">
      <w:pPr>
        <w:spacing w:line="360" w:lineRule="auto"/>
        <w:jc w:val="both"/>
        <w:rPr>
          <w:rFonts w:cstheme="minorHAnsi"/>
          <w:b/>
          <w:bCs/>
          <w:color w:val="0070C0"/>
        </w:rPr>
      </w:pPr>
      <w:r>
        <w:rPr>
          <w:rFonts w:cstheme="minorHAnsi"/>
          <w:b/>
          <w:bCs/>
          <w:noProof/>
          <w:color w:val="0070C0"/>
        </w:rPr>
        <w:lastRenderedPageBreak/>
        <w:drawing>
          <wp:inline distT="0" distB="0" distL="0" distR="0" wp14:anchorId="676BD46D" wp14:editId="750B659B">
            <wp:extent cx="5759450" cy="3009265"/>
            <wp:effectExtent l="0" t="0" r="0" b="635"/>
            <wp:docPr id="99454294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542940" name="Obraz 99454294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FF112" w14:textId="77777777" w:rsidR="00CC51F2" w:rsidRDefault="00CC51F2" w:rsidP="0062588B">
      <w:pPr>
        <w:spacing w:line="360" w:lineRule="auto"/>
        <w:jc w:val="both"/>
        <w:rPr>
          <w:rFonts w:cstheme="minorHAnsi"/>
          <w:b/>
          <w:bCs/>
          <w:color w:val="0070C0"/>
        </w:rPr>
      </w:pPr>
    </w:p>
    <w:p w14:paraId="3E218B58" w14:textId="5E18569F" w:rsidR="0062588B" w:rsidRPr="00C13E12" w:rsidRDefault="0062588B" w:rsidP="0062588B">
      <w:pPr>
        <w:spacing w:line="360" w:lineRule="auto"/>
        <w:jc w:val="both"/>
        <w:rPr>
          <w:rFonts w:cstheme="minorHAnsi"/>
          <w:b/>
          <w:bCs/>
          <w:color w:val="0070C0"/>
        </w:rPr>
      </w:pPr>
      <w:r w:rsidRPr="00C13E12">
        <w:rPr>
          <w:rFonts w:cstheme="minorHAnsi"/>
          <w:b/>
          <w:bCs/>
          <w:color w:val="0070C0"/>
        </w:rPr>
        <w:t xml:space="preserve">Polska </w:t>
      </w:r>
      <w:r w:rsidR="008E1240">
        <w:rPr>
          <w:rFonts w:cstheme="minorHAnsi"/>
          <w:b/>
          <w:bCs/>
          <w:color w:val="0070C0"/>
        </w:rPr>
        <w:t>liderem wzrostu w TOP</w:t>
      </w:r>
      <w:r w:rsidR="001C44BB">
        <w:rPr>
          <w:rFonts w:cstheme="minorHAnsi"/>
          <w:b/>
          <w:bCs/>
          <w:color w:val="0070C0"/>
        </w:rPr>
        <w:t xml:space="preserve"> </w:t>
      </w:r>
      <w:r w:rsidR="008E1240">
        <w:rPr>
          <w:rFonts w:cstheme="minorHAnsi"/>
          <w:b/>
          <w:bCs/>
          <w:color w:val="0070C0"/>
        </w:rPr>
        <w:t>5</w:t>
      </w:r>
    </w:p>
    <w:p w14:paraId="27EB854A" w14:textId="77777777" w:rsidR="0062588B" w:rsidRDefault="0062588B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62588B">
        <w:rPr>
          <w:rFonts w:cstheme="minorHAnsi"/>
          <w:sz w:val="22"/>
          <w:szCs w:val="22"/>
        </w:rPr>
        <w:t>Największym rynkiem leasingowym w Europie pozostaje Wielka Brytania, gdzie wartość nowego finansowania w 2025 roku wyniosła 105,4 mld euro. Kolejne miejsca zajęły Niemcy (82,3 mld euro), Francja (67 mld euro) oraz Włochy (36,1 mld euro). Polska, z wynikiem 28,2 mld euro, utrzymała piątą pozycję, wyprzedzając m.in. Holandię, Hiszpanię, Szwecję i Belgię.</w:t>
      </w:r>
    </w:p>
    <w:p w14:paraId="48648A56" w14:textId="002A7408" w:rsidR="00017649" w:rsidRPr="00017649" w:rsidRDefault="00017649" w:rsidP="00017649">
      <w:pPr>
        <w:spacing w:line="360" w:lineRule="auto"/>
        <w:jc w:val="both"/>
        <w:rPr>
          <w:rFonts w:cstheme="minorHAnsi"/>
          <w:sz w:val="22"/>
          <w:szCs w:val="22"/>
        </w:rPr>
      </w:pPr>
      <w:r w:rsidRPr="00017649">
        <w:rPr>
          <w:rFonts w:cstheme="minorHAnsi"/>
          <w:sz w:val="22"/>
          <w:szCs w:val="22"/>
        </w:rPr>
        <w:t xml:space="preserve">Rok 2025 pokazał wyraźne różnice w tempie rozwoju europejskich rynków leasingowych. Polska, ze wzrostem wartości nowego finansowania o 9,9 proc., rozwijała się najszybciej spośród pięciu największych rynków Europy. Dla porównania we Włoszech wzrost wyniósł 5,8 proc., w Wielkiej Brytanii 5,1 proc., a w Niemczech 3,5 proc. </w:t>
      </w:r>
      <w:r w:rsidR="002F0CE3" w:rsidRPr="002F0CE3">
        <w:rPr>
          <w:rFonts w:cstheme="minorHAnsi"/>
          <w:sz w:val="22"/>
          <w:szCs w:val="22"/>
        </w:rPr>
        <w:t>We Francji wartość nowego finansowania spadła</w:t>
      </w:r>
      <w:r w:rsidR="002F0CE3">
        <w:rPr>
          <w:rFonts w:cstheme="minorHAnsi"/>
          <w:sz w:val="22"/>
          <w:szCs w:val="22"/>
        </w:rPr>
        <w:t xml:space="preserve"> </w:t>
      </w:r>
      <w:r w:rsidRPr="00017649">
        <w:rPr>
          <w:rFonts w:cstheme="minorHAnsi"/>
          <w:sz w:val="22"/>
          <w:szCs w:val="22"/>
        </w:rPr>
        <w:t>natomiast o 5,8 proc.</w:t>
      </w:r>
    </w:p>
    <w:p w14:paraId="541BF183" w14:textId="7AFE7D26" w:rsidR="00017649" w:rsidRDefault="00017649" w:rsidP="00017649">
      <w:pPr>
        <w:spacing w:line="360" w:lineRule="auto"/>
        <w:jc w:val="both"/>
        <w:rPr>
          <w:rFonts w:cstheme="minorHAnsi"/>
          <w:sz w:val="22"/>
          <w:szCs w:val="22"/>
        </w:rPr>
      </w:pPr>
      <w:r w:rsidRPr="00017649">
        <w:rPr>
          <w:rFonts w:cstheme="minorHAnsi"/>
          <w:sz w:val="22"/>
          <w:szCs w:val="22"/>
        </w:rPr>
        <w:t>Zróżnicowanie było widoczne także na poziomie regionów. Europa Środkow</w:t>
      </w:r>
      <w:r>
        <w:rPr>
          <w:rFonts w:cstheme="minorHAnsi"/>
          <w:sz w:val="22"/>
          <w:szCs w:val="22"/>
        </w:rPr>
        <w:t xml:space="preserve">a i </w:t>
      </w:r>
      <w:r w:rsidRPr="00017649">
        <w:rPr>
          <w:rFonts w:cstheme="minorHAnsi"/>
          <w:sz w:val="22"/>
          <w:szCs w:val="22"/>
        </w:rPr>
        <w:t>Wschodnia odnotowała najwyższą dynamikę wzrostu – 10,4 proc., osiągając 57,8 mld euro nowego finansowania. Jednocześnie w krajach nordyckich i bałtyckich wartość finansowania spadła o 0,4 proc. Jak wskazuje Leaseurope, choć</w:t>
      </w:r>
      <w:r w:rsidR="009252B8">
        <w:rPr>
          <w:rFonts w:cstheme="minorHAnsi"/>
          <w:sz w:val="22"/>
          <w:szCs w:val="22"/>
        </w:rPr>
        <w:t xml:space="preserve"> ostatecznie</w:t>
      </w:r>
      <w:r w:rsidRPr="00017649">
        <w:rPr>
          <w:rFonts w:cstheme="minorHAnsi"/>
          <w:sz w:val="22"/>
          <w:szCs w:val="22"/>
        </w:rPr>
        <w:t xml:space="preserve"> większość analizowanych regionów zakończyła rok na plusie, skala wzrostu była bardzo różna.</w:t>
      </w:r>
    </w:p>
    <w:p w14:paraId="6F1A732C" w14:textId="49AFD530" w:rsidR="00017649" w:rsidRDefault="00827B67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827B67">
        <w:rPr>
          <w:rFonts w:cstheme="minorHAnsi"/>
          <w:sz w:val="22"/>
          <w:szCs w:val="22"/>
        </w:rPr>
        <w:lastRenderedPageBreak/>
        <w:t>W Europie Środkow</w:t>
      </w:r>
      <w:r>
        <w:rPr>
          <w:rFonts w:cstheme="minorHAnsi"/>
          <w:sz w:val="22"/>
          <w:szCs w:val="22"/>
        </w:rPr>
        <w:t xml:space="preserve">ej i </w:t>
      </w:r>
      <w:r w:rsidRPr="00827B67">
        <w:rPr>
          <w:rFonts w:cstheme="minorHAnsi"/>
          <w:sz w:val="22"/>
          <w:szCs w:val="22"/>
        </w:rPr>
        <w:t>Wschodniej wzrost objął zarówno finansowanie pojazdów, którego wartość zwiększyła się o 10,3 proc., jak i maszyn oraz urządzeń, gdzie odnotowano wzrost o 11,2 proc.</w:t>
      </w:r>
    </w:p>
    <w:p w14:paraId="05649659" w14:textId="77777777" w:rsidR="00CC51F2" w:rsidRPr="0062588B" w:rsidRDefault="00CC51F2" w:rsidP="0062588B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7C42E61C" w14:textId="03CB7D5D" w:rsidR="0062588B" w:rsidRPr="00C13E12" w:rsidRDefault="0062588B" w:rsidP="0062588B">
      <w:pPr>
        <w:spacing w:line="360" w:lineRule="auto"/>
        <w:jc w:val="both"/>
        <w:rPr>
          <w:rFonts w:cstheme="minorHAnsi"/>
          <w:b/>
          <w:bCs/>
          <w:color w:val="0070C0"/>
        </w:rPr>
      </w:pPr>
      <w:r w:rsidRPr="00C13E12">
        <w:rPr>
          <w:rFonts w:cstheme="minorHAnsi"/>
          <w:b/>
          <w:bCs/>
          <w:color w:val="0070C0"/>
        </w:rPr>
        <w:t>Leasing finansuje 42 proc. inwestycji</w:t>
      </w:r>
    </w:p>
    <w:p w14:paraId="2D82BE6D" w14:textId="77777777" w:rsidR="0062588B" w:rsidRPr="0062588B" w:rsidRDefault="0062588B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62588B">
        <w:rPr>
          <w:rFonts w:cstheme="minorHAnsi"/>
          <w:sz w:val="22"/>
          <w:szCs w:val="22"/>
        </w:rPr>
        <w:t>Polska zajmuje drugie miejsce wśród analizowanych krajów europejskich pod względem udziału leasingu w finansowaniu inwestycji w maszyny, urządzenia i pojazdy. Wyższy wskaźnik odnotowano jedynie w Wielkiej Brytanii, gdzie wyniósł on 44 proc.</w:t>
      </w:r>
    </w:p>
    <w:p w14:paraId="0BD037FD" w14:textId="77777777" w:rsidR="0062588B" w:rsidRPr="0062588B" w:rsidRDefault="0062588B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62588B">
        <w:rPr>
          <w:rFonts w:cstheme="minorHAnsi"/>
          <w:sz w:val="22"/>
          <w:szCs w:val="22"/>
        </w:rPr>
        <w:t>W Polsce leasing odpowiada za 42 proc. wartości takich inwestycji. Dla porównania w Szwecji udział ten wynosi 40 proc., we Francji 33 proc., w Niemczech 28 proc., a we Włoszech 19 proc. Średnia dla rynków objętych zestawieniem Leaseurope wynosi 28 proc.</w:t>
      </w:r>
    </w:p>
    <w:p w14:paraId="62BACD73" w14:textId="69DE76E8" w:rsidR="004F35AD" w:rsidRDefault="004A0755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4A0755">
        <w:rPr>
          <w:rFonts w:cstheme="minorHAnsi"/>
          <w:sz w:val="22"/>
          <w:szCs w:val="22"/>
        </w:rPr>
        <w:t>Dane wskazują, że w Polsce leasing odgrywa większą rolę w finansowaniu inwestycji w maszyny, urządzenia i pojazdy niż na większości analizowanych rynków europejskich</w:t>
      </w:r>
      <w:r>
        <w:rPr>
          <w:rFonts w:cstheme="minorHAnsi"/>
          <w:sz w:val="22"/>
          <w:szCs w:val="22"/>
        </w:rPr>
        <w:t>.</w:t>
      </w:r>
    </w:p>
    <w:p w14:paraId="78CD670D" w14:textId="77777777" w:rsidR="00AE6A2E" w:rsidRDefault="00AE6A2E" w:rsidP="0062588B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7F38D14F" w14:textId="3B0A936D" w:rsidR="004F35AD" w:rsidRDefault="004F35AD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62588B">
        <w:rPr>
          <w:rFonts w:cstheme="minorHAnsi"/>
          <w:sz w:val="22"/>
          <w:szCs w:val="22"/>
        </w:rPr>
        <w:t xml:space="preserve">– </w:t>
      </w:r>
      <w:r w:rsidRPr="00C13E12">
        <w:rPr>
          <w:rFonts w:cstheme="minorHAnsi"/>
          <w:i/>
          <w:iCs/>
          <w:sz w:val="22"/>
          <w:szCs w:val="22"/>
        </w:rPr>
        <w:t xml:space="preserve">Wyniki Leaseurope pokazują, że polski rynek leasingu nie tylko utrzymuje wysoką pozycję w Europie, ale również rozwija się szybciej niż największe rynki zachodnioeuropejskie. Szczególnie istotny jest jednak udział leasingu w finansowaniu inwestycji. W Polsce sięga on 42 proc., co pokazuje, jak ważnym narzędziem finansowania </w:t>
      </w:r>
      <w:r>
        <w:rPr>
          <w:rFonts w:cstheme="minorHAnsi"/>
          <w:i/>
          <w:iCs/>
          <w:sz w:val="22"/>
          <w:szCs w:val="22"/>
        </w:rPr>
        <w:t>ruchomości</w:t>
      </w:r>
      <w:r w:rsidRPr="00C13E12">
        <w:rPr>
          <w:rFonts w:cstheme="minorHAnsi"/>
          <w:i/>
          <w:iCs/>
          <w:sz w:val="22"/>
          <w:szCs w:val="22"/>
        </w:rPr>
        <w:t xml:space="preserve"> jest leasing dla przedsiębiorców. To właśnie dostępność finansowania inwestycji ma kluczowe znaczenie dla rozwoju i konkurencyjności firm </w:t>
      </w:r>
      <w:r w:rsidRPr="0062588B">
        <w:rPr>
          <w:rFonts w:cstheme="minorHAnsi"/>
          <w:sz w:val="22"/>
          <w:szCs w:val="22"/>
        </w:rPr>
        <w:t xml:space="preserve">– mówi </w:t>
      </w:r>
      <w:r w:rsidRPr="00C13E12">
        <w:rPr>
          <w:rFonts w:cstheme="minorHAnsi"/>
          <w:b/>
          <w:bCs/>
          <w:sz w:val="22"/>
          <w:szCs w:val="22"/>
        </w:rPr>
        <w:t>Monika Constant</w:t>
      </w:r>
      <w:r w:rsidRPr="0062588B">
        <w:rPr>
          <w:rFonts w:cstheme="minorHAnsi"/>
          <w:sz w:val="22"/>
          <w:szCs w:val="22"/>
        </w:rPr>
        <w:t>, prezeska Związku Polskiego Leasingu.</w:t>
      </w:r>
    </w:p>
    <w:p w14:paraId="73D553A1" w14:textId="77777777" w:rsidR="00CC51F2" w:rsidRDefault="008B2007" w:rsidP="0062588B">
      <w:pPr>
        <w:spacing w:line="360" w:lineRule="auto"/>
        <w:jc w:val="both"/>
        <w:rPr>
          <w:rFonts w:cstheme="minorHAnsi"/>
          <w:b/>
          <w:bCs/>
          <w:color w:val="0070C0"/>
        </w:rPr>
      </w:pPr>
      <w:r>
        <w:rPr>
          <w:rFonts w:cstheme="minorHAnsi"/>
          <w:b/>
          <w:bCs/>
          <w:noProof/>
          <w:color w:val="0070C0"/>
        </w:rPr>
        <w:lastRenderedPageBreak/>
        <w:drawing>
          <wp:inline distT="0" distB="0" distL="0" distR="0" wp14:anchorId="43ACFC3B" wp14:editId="3AAE69EA">
            <wp:extent cx="5759450" cy="3009265"/>
            <wp:effectExtent l="0" t="0" r="0" b="635"/>
            <wp:docPr id="116628157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281576" name="Obraz 116628157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F9B28" w14:textId="77777777" w:rsidR="00CC51F2" w:rsidRDefault="00CC51F2" w:rsidP="0062588B">
      <w:pPr>
        <w:spacing w:line="360" w:lineRule="auto"/>
        <w:jc w:val="both"/>
        <w:rPr>
          <w:rFonts w:cstheme="minorHAnsi"/>
          <w:b/>
          <w:bCs/>
          <w:color w:val="0070C0"/>
        </w:rPr>
      </w:pPr>
    </w:p>
    <w:p w14:paraId="07AC4219" w14:textId="59F639AE" w:rsidR="0062588B" w:rsidRPr="004F35AD" w:rsidRDefault="0059644F" w:rsidP="0062588B">
      <w:pPr>
        <w:spacing w:line="360" w:lineRule="auto"/>
        <w:jc w:val="both"/>
        <w:rPr>
          <w:rFonts w:cstheme="minorHAnsi"/>
          <w:b/>
          <w:bCs/>
          <w:color w:val="0070C0"/>
        </w:rPr>
      </w:pPr>
      <w:r>
        <w:rPr>
          <w:rFonts w:cstheme="minorHAnsi"/>
          <w:b/>
          <w:bCs/>
          <w:color w:val="0070C0"/>
        </w:rPr>
        <w:t>Leasing</w:t>
      </w:r>
      <w:r w:rsidR="0062588B" w:rsidRPr="004F35AD">
        <w:rPr>
          <w:rFonts w:cstheme="minorHAnsi"/>
          <w:b/>
          <w:bCs/>
          <w:color w:val="0070C0"/>
        </w:rPr>
        <w:t xml:space="preserve"> </w:t>
      </w:r>
      <w:r w:rsidR="004F35AD">
        <w:rPr>
          <w:rFonts w:cstheme="minorHAnsi"/>
          <w:b/>
          <w:bCs/>
          <w:color w:val="0070C0"/>
        </w:rPr>
        <w:t>napędza</w:t>
      </w:r>
      <w:r>
        <w:rPr>
          <w:rFonts w:cstheme="minorHAnsi"/>
          <w:b/>
          <w:bCs/>
          <w:color w:val="0070C0"/>
        </w:rPr>
        <w:t xml:space="preserve"> MŚP</w:t>
      </w:r>
    </w:p>
    <w:p w14:paraId="76706DAE" w14:textId="77777777" w:rsidR="0062588B" w:rsidRPr="0062588B" w:rsidRDefault="0062588B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62588B">
        <w:rPr>
          <w:rFonts w:cstheme="minorHAnsi"/>
          <w:sz w:val="22"/>
          <w:szCs w:val="22"/>
        </w:rPr>
        <w:t>Raport Leaseurope potwierdza również znaczenie małych i średnich przedsiębiorstw dla rynku leasingowego. W Polsce sektor MŚP odpowiadał za 73 proc. wartości nowego finansowania udzielonego klientom biznesowym, podczas gdy udział dużych przedsiębiorstw wyniósł 27 proc.</w:t>
      </w:r>
    </w:p>
    <w:p w14:paraId="522C99AE" w14:textId="77777777" w:rsidR="0062588B" w:rsidRPr="0062588B" w:rsidRDefault="0062588B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62588B">
        <w:rPr>
          <w:rFonts w:cstheme="minorHAnsi"/>
          <w:sz w:val="22"/>
          <w:szCs w:val="22"/>
        </w:rPr>
        <w:t>W grupie krajów, które przekazały szczegółowe dane dotyczące struktury klientów biznesowych, udział MŚP wyniósł 71 proc., a dużych przedsiębiorstw 29 proc.</w:t>
      </w:r>
    </w:p>
    <w:p w14:paraId="14109097" w14:textId="68B468C3" w:rsidR="0062588B" w:rsidRDefault="0062588B" w:rsidP="0062588B">
      <w:pPr>
        <w:spacing w:line="360" w:lineRule="auto"/>
        <w:jc w:val="both"/>
        <w:rPr>
          <w:rFonts w:cstheme="minorHAnsi"/>
          <w:sz w:val="22"/>
          <w:szCs w:val="22"/>
        </w:rPr>
      </w:pPr>
      <w:r w:rsidRPr="0062588B">
        <w:rPr>
          <w:rFonts w:cstheme="minorHAnsi"/>
          <w:sz w:val="22"/>
          <w:szCs w:val="22"/>
        </w:rPr>
        <w:t xml:space="preserve">Z przywołanego w raporcie badania SAFE Komisji Europejskiej wynika ponadto, że w 2025 roku 47 proc. małych i średnich przedsiębiorstw w Unii Europejskiej uznawało leasing </w:t>
      </w:r>
      <w:r w:rsidR="00433D1C">
        <w:rPr>
          <w:rFonts w:cstheme="minorHAnsi"/>
          <w:sz w:val="22"/>
          <w:szCs w:val="22"/>
        </w:rPr>
        <w:t>za</w:t>
      </w:r>
      <w:r w:rsidRPr="0062588B">
        <w:rPr>
          <w:rFonts w:cstheme="minorHAnsi"/>
          <w:sz w:val="22"/>
          <w:szCs w:val="22"/>
        </w:rPr>
        <w:t xml:space="preserve"> istotne źródło finansowania działalności. Z tych form finansowania w ciągu sześciu miesięcy poprzedzających badanie korzystało 19 proc. unijnych MŚP.</w:t>
      </w:r>
    </w:p>
    <w:p w14:paraId="4D9F7C13" w14:textId="77777777" w:rsidR="00474E5C" w:rsidRPr="0062588B" w:rsidRDefault="00474E5C" w:rsidP="0062588B">
      <w:pPr>
        <w:spacing w:line="360" w:lineRule="auto"/>
        <w:jc w:val="both"/>
        <w:rPr>
          <w:rFonts w:cstheme="minorHAnsi"/>
          <w:sz w:val="22"/>
          <w:szCs w:val="22"/>
        </w:rPr>
      </w:pPr>
    </w:p>
    <w:p w14:paraId="5A87A54E" w14:textId="30B31983" w:rsidR="0062588B" w:rsidRDefault="0062588B" w:rsidP="0062588B">
      <w:pPr>
        <w:spacing w:line="360" w:lineRule="auto"/>
        <w:jc w:val="both"/>
        <w:rPr>
          <w:rFonts w:cstheme="minorHAnsi"/>
          <w:b/>
          <w:bCs/>
          <w:color w:val="0070C0"/>
        </w:rPr>
      </w:pPr>
      <w:r w:rsidRPr="00C13E12">
        <w:rPr>
          <w:rFonts w:cstheme="minorHAnsi"/>
          <w:b/>
          <w:bCs/>
          <w:color w:val="0070C0"/>
        </w:rPr>
        <w:t xml:space="preserve">Pojazdy </w:t>
      </w:r>
      <w:r w:rsidR="004F35AD">
        <w:rPr>
          <w:rFonts w:cstheme="minorHAnsi"/>
          <w:b/>
          <w:bCs/>
          <w:color w:val="0070C0"/>
        </w:rPr>
        <w:t>dominują w Europie</w:t>
      </w:r>
    </w:p>
    <w:p w14:paraId="529A5E7C" w14:textId="19B7E839" w:rsidR="007F7A9A" w:rsidRPr="007F7A9A" w:rsidRDefault="007F7A9A" w:rsidP="007F7A9A">
      <w:pPr>
        <w:spacing w:line="360" w:lineRule="auto"/>
        <w:jc w:val="both"/>
        <w:rPr>
          <w:rFonts w:cstheme="minorHAnsi"/>
          <w:sz w:val="22"/>
          <w:szCs w:val="22"/>
        </w:rPr>
      </w:pPr>
      <w:r w:rsidRPr="007F7A9A">
        <w:rPr>
          <w:rFonts w:cstheme="minorHAnsi"/>
          <w:sz w:val="22"/>
          <w:szCs w:val="22"/>
        </w:rPr>
        <w:t xml:space="preserve">Europejski rynek leasingu pozostaje silnie związany z motoryzacją. W 2025 roku pojazdy odpowiadały za 74 proc. wartości nowego finansowania, czyli około 343 mld euro. Nie wszystkie segmenty rozwijały się jednak w tym samym tempie. Finansowanie samochodów osobowych wzrosło o 3,2 proc., osiągając </w:t>
      </w:r>
      <w:r w:rsidRPr="007F7A9A">
        <w:rPr>
          <w:rFonts w:cstheme="minorHAnsi"/>
          <w:sz w:val="22"/>
          <w:szCs w:val="22"/>
        </w:rPr>
        <w:lastRenderedPageBreak/>
        <w:t xml:space="preserve">254 mld euro, podczas gdy w przypadku pojazdów </w:t>
      </w:r>
      <w:r>
        <w:rPr>
          <w:rFonts w:cstheme="minorHAnsi"/>
          <w:sz w:val="22"/>
          <w:szCs w:val="22"/>
        </w:rPr>
        <w:t>ciężkich</w:t>
      </w:r>
      <w:r w:rsidRPr="007F7A9A">
        <w:rPr>
          <w:rFonts w:cstheme="minorHAnsi"/>
          <w:sz w:val="22"/>
          <w:szCs w:val="22"/>
        </w:rPr>
        <w:t xml:space="preserve"> odnotowano niewielki spadek – o 0,1 proc., do 81,2 mld euro.</w:t>
      </w:r>
    </w:p>
    <w:p w14:paraId="072793EA" w14:textId="77777777" w:rsidR="007F7A9A" w:rsidRPr="007F7A9A" w:rsidRDefault="007F7A9A" w:rsidP="007F7A9A">
      <w:pPr>
        <w:spacing w:line="360" w:lineRule="auto"/>
        <w:jc w:val="both"/>
        <w:rPr>
          <w:rFonts w:cstheme="minorHAnsi"/>
          <w:sz w:val="22"/>
          <w:szCs w:val="22"/>
        </w:rPr>
      </w:pPr>
      <w:r w:rsidRPr="007F7A9A">
        <w:rPr>
          <w:rFonts w:cstheme="minorHAnsi"/>
          <w:sz w:val="22"/>
          <w:szCs w:val="22"/>
        </w:rPr>
        <w:t>Na tym tle uwagę zwracają wyniki polskiego rynku. Według danych ZPL finansowanie pojazdów ciężkich wzrosło w 2025 roku o 4,4 proc., do 19,7 mld zł. Był to pierwszy rok wzrostu po okresie osłabienia tego segmentu – dodatnia dynamika powróciła w II kwartale, po siedmiu kolejnych kwartałach spadków.</w:t>
      </w:r>
    </w:p>
    <w:p w14:paraId="14623BD2" w14:textId="2EFD79BB" w:rsidR="007F7A9A" w:rsidRPr="007F7A9A" w:rsidRDefault="007F7A9A" w:rsidP="007F7A9A">
      <w:pPr>
        <w:spacing w:line="360" w:lineRule="auto"/>
        <w:jc w:val="both"/>
        <w:rPr>
          <w:rFonts w:cstheme="minorHAnsi"/>
          <w:sz w:val="22"/>
          <w:szCs w:val="22"/>
        </w:rPr>
      </w:pPr>
      <w:r w:rsidRPr="007F7A9A">
        <w:rPr>
          <w:rFonts w:cstheme="minorHAnsi"/>
          <w:sz w:val="22"/>
          <w:szCs w:val="22"/>
        </w:rPr>
        <w:t xml:space="preserve">Znacznie mniejszy udział w europejskim rynku mają maszyny i urządzenia przemysłowe, które odpowiadały za 14 proc. nowego finansowania, notując wzrost o 3,1 proc. Najwyższą dynamikę spośród </w:t>
      </w:r>
      <w:r w:rsidR="00CE2CE4">
        <w:rPr>
          <w:rFonts w:cstheme="minorHAnsi"/>
          <w:sz w:val="22"/>
          <w:szCs w:val="22"/>
        </w:rPr>
        <w:t xml:space="preserve">wymienionych </w:t>
      </w:r>
      <w:r w:rsidRPr="007F7A9A">
        <w:rPr>
          <w:rFonts w:cstheme="minorHAnsi"/>
          <w:sz w:val="22"/>
          <w:szCs w:val="22"/>
        </w:rPr>
        <w:t>segmentów odnotował leasing nieruchomości – jego wartość zwiększyła się o 15,5 proc., do 13,2 mld euro. Mimo tego wzrostu nieruchomości nadal stanowią około 3 proc. europejskiego rynku leasingowego.</w:t>
      </w:r>
    </w:p>
    <w:p w14:paraId="7A235423" w14:textId="77777777" w:rsidR="00CC51F2" w:rsidRDefault="007830D8" w:rsidP="0062588B">
      <w:pPr>
        <w:spacing w:line="360" w:lineRule="auto"/>
        <w:jc w:val="both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noProof/>
          <w:sz w:val="18"/>
          <w:szCs w:val="18"/>
        </w:rPr>
        <w:drawing>
          <wp:inline distT="0" distB="0" distL="0" distR="0" wp14:anchorId="2823BA55" wp14:editId="53BAFD14">
            <wp:extent cx="5759450" cy="3009265"/>
            <wp:effectExtent l="0" t="0" r="0" b="635"/>
            <wp:docPr id="243884821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884821" name="Obraz 24388482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D705D" w14:textId="77777777" w:rsidR="00CC51F2" w:rsidRDefault="00CC51F2" w:rsidP="0062588B">
      <w:pPr>
        <w:spacing w:line="360" w:lineRule="auto"/>
        <w:jc w:val="both"/>
        <w:rPr>
          <w:rFonts w:cstheme="minorHAnsi"/>
          <w:b/>
          <w:bCs/>
          <w:sz w:val="18"/>
          <w:szCs w:val="18"/>
        </w:rPr>
      </w:pPr>
    </w:p>
    <w:p w14:paraId="3D97C95A" w14:textId="385FBB33" w:rsidR="0062588B" w:rsidRPr="00EC78A5" w:rsidRDefault="0062588B" w:rsidP="0062588B">
      <w:pPr>
        <w:spacing w:line="360" w:lineRule="auto"/>
        <w:jc w:val="both"/>
        <w:rPr>
          <w:rFonts w:cstheme="minorHAnsi"/>
          <w:b/>
          <w:bCs/>
          <w:sz w:val="18"/>
          <w:szCs w:val="18"/>
        </w:rPr>
      </w:pPr>
      <w:r w:rsidRPr="00EC78A5">
        <w:rPr>
          <w:rFonts w:cstheme="minorHAnsi"/>
          <w:b/>
          <w:bCs/>
          <w:sz w:val="18"/>
          <w:szCs w:val="18"/>
        </w:rPr>
        <w:t>O raporcie</w:t>
      </w:r>
    </w:p>
    <w:p w14:paraId="03145073" w14:textId="77777777" w:rsidR="0062588B" w:rsidRPr="00EC78A5" w:rsidRDefault="0062588B" w:rsidP="0062588B">
      <w:pPr>
        <w:spacing w:line="360" w:lineRule="auto"/>
        <w:jc w:val="both"/>
        <w:rPr>
          <w:rFonts w:cstheme="minorHAnsi"/>
          <w:sz w:val="18"/>
          <w:szCs w:val="18"/>
        </w:rPr>
      </w:pPr>
      <w:r w:rsidRPr="00EC78A5">
        <w:rPr>
          <w:rFonts w:cstheme="minorHAnsi"/>
          <w:sz w:val="18"/>
          <w:szCs w:val="18"/>
        </w:rPr>
        <w:t>„</w:t>
      </w:r>
      <w:proofErr w:type="spellStart"/>
      <w:r w:rsidRPr="00EC78A5">
        <w:rPr>
          <w:rFonts w:cstheme="minorHAnsi"/>
          <w:sz w:val="18"/>
          <w:szCs w:val="18"/>
        </w:rPr>
        <w:t>Annual</w:t>
      </w:r>
      <w:proofErr w:type="spellEnd"/>
      <w:r w:rsidRPr="00EC78A5">
        <w:rPr>
          <w:rFonts w:cstheme="minorHAnsi"/>
          <w:sz w:val="18"/>
          <w:szCs w:val="18"/>
        </w:rPr>
        <w:t xml:space="preserve"> Statistical Report 2025” to coroczne opracowanie Leaseurope, europejskiej federacji zrzeszającej krajowe organizacje branży leasingowej i wynajmu pojazdów. Raport przedstawia dane dotyczące wartości nowego finansowania, struktury rynku, rodzajów finansowanych aktywów oraz znaczenia leasingu w finansowaniu inwestycji w poszczególnych krajach Europy.</w:t>
      </w:r>
    </w:p>
    <w:p w14:paraId="3D5EFB95" w14:textId="77777777" w:rsidR="0062588B" w:rsidRPr="00EC78A5" w:rsidRDefault="0062588B" w:rsidP="0062588B">
      <w:pPr>
        <w:spacing w:line="360" w:lineRule="auto"/>
        <w:jc w:val="both"/>
        <w:rPr>
          <w:rFonts w:cstheme="minorHAnsi"/>
          <w:sz w:val="18"/>
          <w:szCs w:val="18"/>
        </w:rPr>
      </w:pPr>
      <w:r w:rsidRPr="00EC78A5">
        <w:rPr>
          <w:rFonts w:cstheme="minorHAnsi"/>
          <w:sz w:val="18"/>
          <w:szCs w:val="18"/>
        </w:rPr>
        <w:t>Dane pochodzą od organizacji członkowskich Leaseurope i odnoszą się do reprezentowanych przez nie części rynków krajowych. Dynamiki wzrostu są nominalne, nie zostały skorygowane o inflację i mogą pozostawać pod wpływem zmian kursów walut.</w:t>
      </w:r>
    </w:p>
    <w:p w14:paraId="7712F1C0" w14:textId="7DFBCDD1" w:rsidR="004503EC" w:rsidRPr="00AD4E46" w:rsidRDefault="00F27AE4" w:rsidP="00EA7001">
      <w:pPr>
        <w:spacing w:before="240" w:after="240" w:line="360" w:lineRule="auto"/>
        <w:jc w:val="both"/>
        <w:rPr>
          <w:rFonts w:cstheme="minorHAnsi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lastRenderedPageBreak/>
        <w:pict w14:anchorId="754BF4D0">
          <v:rect id="_x0000_i1025" style="width:0;height:1.5pt" o:hralign="center" o:hrstd="t" o:hr="t" fillcolor="#a0a0a0" stroked="f"/>
        </w:pict>
      </w:r>
    </w:p>
    <w:p w14:paraId="40E5B297" w14:textId="77777777" w:rsidR="008B319C" w:rsidRPr="00AD4E46" w:rsidRDefault="008B319C" w:rsidP="00EA7001">
      <w:pPr>
        <w:spacing w:before="240" w:line="360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B079E54" w14:textId="016BEB00" w:rsidR="000026C6" w:rsidRPr="00AD4E46" w:rsidRDefault="004F7B4A" w:rsidP="00EA7001">
      <w:pPr>
        <w:tabs>
          <w:tab w:val="num" w:pos="720"/>
        </w:tabs>
        <w:spacing w:before="240"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  <w:r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37 podmiotów obejmujących ponad 90 proc. sektora: 36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jest aktywnym członkiem Leaseurope – europejskiej federacji organizacji branży leasingowej i wynajmu pojazdów, zrzeszającej 45 stowarzyszeń z 32 krajów Europy. W 2024 roku ZPL obchodził 30-lecie istnienia. W ciągu trzech dekad firmy leasingowe przeznaczyły ponad 1 bln zł na inwestycje przedsiębiorstw działających w Polsce. W 2025 roku firmy leasingowe sfinansowały inwestycje przedsiębiorstw na kwotę 119,5 mld zł. Oznacza to wzrost rynku o 8,1 proc. r/r.</w:t>
      </w:r>
    </w:p>
    <w:p w14:paraId="143F7770" w14:textId="77777777" w:rsidR="008B319C" w:rsidRPr="00AD4E46" w:rsidRDefault="008B319C" w:rsidP="00EA7001">
      <w:pPr>
        <w:spacing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Pr="00AD4E46" w:rsidRDefault="008B319C" w:rsidP="00EA7001">
      <w:pPr>
        <w:spacing w:line="360" w:lineRule="auto"/>
        <w:jc w:val="both"/>
        <w:rPr>
          <w:rFonts w:cstheme="minorHAnsi"/>
        </w:rPr>
      </w:pPr>
      <w:r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1" w:history="1">
        <w:r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6700255" w14:textId="63520437" w:rsidR="008B319C" w:rsidRPr="00AD4E46" w:rsidRDefault="00F27AE4" w:rsidP="00EA7001">
      <w:pPr>
        <w:spacing w:line="360" w:lineRule="auto"/>
        <w:jc w:val="both"/>
        <w:rPr>
          <w:rFonts w:cstheme="minorHAnsi"/>
        </w:rPr>
      </w:pPr>
      <w:r>
        <w:rPr>
          <w:rFonts w:cstheme="minorHAnsi"/>
          <w:b/>
          <w:bCs/>
          <w:color w:val="0070C0"/>
          <w:sz w:val="32"/>
          <w:szCs w:val="32"/>
        </w:rPr>
        <w:pict w14:anchorId="6A5E4DC0">
          <v:rect id="_x0000_i1026" style="width:0;height:1.5pt" o:hralign="center" o:hrstd="t" o:hr="t" fillcolor="#a0a0a0" stroked="f"/>
        </w:pict>
      </w:r>
    </w:p>
    <w:p w14:paraId="72165DC1" w14:textId="77777777" w:rsidR="008B319C" w:rsidRPr="00AD4E46" w:rsidRDefault="008B319C" w:rsidP="00EA7001">
      <w:pPr>
        <w:spacing w:line="360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AD4E46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AD4E46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AD4E46" w:rsidRDefault="008B319C" w:rsidP="00EA7001">
      <w:pPr>
        <w:spacing w:line="360" w:lineRule="auto"/>
        <w:jc w:val="both"/>
        <w:rPr>
          <w:rFonts w:cstheme="minorHAnsi"/>
          <w:sz w:val="18"/>
          <w:szCs w:val="18"/>
          <w:lang w:val="de-DE"/>
        </w:rPr>
      </w:pPr>
      <w:proofErr w:type="spellStart"/>
      <w:r>
        <w:rPr>
          <w:rFonts w:cstheme="minorHAnsi"/>
          <w:sz w:val="18"/>
          <w:szCs w:val="18"/>
          <w:lang w:val="de-DE"/>
        </w:rPr>
        <w:t>e-mail</w:t>
      </w:r>
      <w:proofErr w:type="spellEnd"/>
      <w:r>
        <w:rPr>
          <w:rFonts w:cstheme="minorHAnsi"/>
          <w:sz w:val="18"/>
          <w:szCs w:val="18"/>
          <w:lang w:val="de-DE"/>
        </w:rPr>
        <w:t xml:space="preserve">: katarzyna.ostrowska@leasing.org.pl </w:t>
      </w:r>
    </w:p>
    <w:p w14:paraId="29DD4912" w14:textId="6EE3BBD2" w:rsidR="008B319C" w:rsidRPr="00AD4E46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tel.: (+48) 697 770 498</w:t>
      </w:r>
    </w:p>
    <w:p w14:paraId="29490517" w14:textId="6A003B30" w:rsidR="008B319C" w:rsidRPr="00AD4E46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Śledź nas na: </w:t>
      </w:r>
    </w:p>
    <w:p w14:paraId="71551D1E" w14:textId="77777777" w:rsidR="008B319C" w:rsidRPr="00AD4E46" w:rsidRDefault="008B319C" w:rsidP="00EA7001">
      <w:pPr>
        <w:spacing w:line="360" w:lineRule="auto"/>
        <w:jc w:val="both"/>
        <w:rPr>
          <w:rFonts w:cstheme="minorHAnsi"/>
        </w:rPr>
      </w:pPr>
      <w:r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4"/>
                    </pic:cNvPr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AD4E46" w:rsidRDefault="008B319C" w:rsidP="00EA7001">
      <w:pPr>
        <w:spacing w:line="360" w:lineRule="auto"/>
        <w:jc w:val="both"/>
        <w:rPr>
          <w:rFonts w:cstheme="minorHAnsi"/>
        </w:rPr>
      </w:pPr>
    </w:p>
    <w:sectPr w:rsidR="008B319C" w:rsidRPr="00AD4E46" w:rsidSect="00D8460D">
      <w:headerReference w:type="default" r:id="rId16"/>
      <w:footerReference w:type="default" r:id="rId17"/>
      <w:pgSz w:w="11906" w:h="16838"/>
      <w:pgMar w:top="3970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6B8B8" w14:textId="77777777" w:rsidR="00F27AE4" w:rsidRDefault="00F27AE4" w:rsidP="00C64445">
      <w:r>
        <w:separator/>
      </w:r>
    </w:p>
  </w:endnote>
  <w:endnote w:type="continuationSeparator" w:id="0">
    <w:p w14:paraId="0496A87D" w14:textId="77777777" w:rsidR="00F27AE4" w:rsidRDefault="00F27AE4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4739538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7B6B4" w14:textId="77777777" w:rsidR="00F27AE4" w:rsidRDefault="00F27AE4" w:rsidP="00C64445">
      <w:r>
        <w:separator/>
      </w:r>
    </w:p>
  </w:footnote>
  <w:footnote w:type="continuationSeparator" w:id="0">
    <w:p w14:paraId="3B69C0F8" w14:textId="77777777" w:rsidR="00F27AE4" w:rsidRDefault="00F27AE4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6EE0579F" w:rsidR="00C64445" w:rsidRDefault="00F27AE4">
    <w:pPr>
      <w:pStyle w:val="Nagwek"/>
    </w:pPr>
    <w:sdt>
      <w:sdtPr>
        <w:id w:val="1595672344"/>
        <w:docPartObj>
          <w:docPartGallery w:val="Page Numbers (Margins)"/>
          <w:docPartUnique/>
        </w:docPartObj>
      </w:sdtPr>
      <w:sdtEndPr/>
      <w:sdtContent>
        <w:r w:rsidR="00506058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B46C4CC" wp14:editId="7B03281C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3810" b="0"/>
                  <wp:wrapNone/>
                  <wp:docPr id="1409853186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F8AE68" w14:textId="77777777" w:rsidR="00506058" w:rsidRDefault="00506058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B46C4CC" id="Prostokąt 1" o:spid="_x0000_s1026" style="position:absolute;margin-left:0;margin-top:0;width:41.95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4F8AE68" w14:textId="77777777" w:rsidR="00506058" w:rsidRDefault="00506058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84E74"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1458316460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55241"/>
    <w:multiLevelType w:val="multilevel"/>
    <w:tmpl w:val="BAD8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BE7723"/>
    <w:multiLevelType w:val="multilevel"/>
    <w:tmpl w:val="7F6CC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7C3DCE"/>
    <w:multiLevelType w:val="multilevel"/>
    <w:tmpl w:val="900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865460"/>
    <w:multiLevelType w:val="multilevel"/>
    <w:tmpl w:val="58E0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1B55E3"/>
    <w:multiLevelType w:val="hybridMultilevel"/>
    <w:tmpl w:val="B238BC9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7714"/>
    <w:multiLevelType w:val="multilevel"/>
    <w:tmpl w:val="FE7C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D6769F"/>
    <w:multiLevelType w:val="hybridMultilevel"/>
    <w:tmpl w:val="03BC8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15ABB"/>
    <w:multiLevelType w:val="hybridMultilevel"/>
    <w:tmpl w:val="03AC4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9C1557"/>
    <w:multiLevelType w:val="hybridMultilevel"/>
    <w:tmpl w:val="D1AA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D4BBA"/>
    <w:multiLevelType w:val="multilevel"/>
    <w:tmpl w:val="ACF4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6404B2"/>
    <w:multiLevelType w:val="multilevel"/>
    <w:tmpl w:val="8B0A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F07EA9"/>
    <w:multiLevelType w:val="multilevel"/>
    <w:tmpl w:val="C79AE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552F0E"/>
    <w:multiLevelType w:val="hybridMultilevel"/>
    <w:tmpl w:val="8A0ED6F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DF611B"/>
    <w:multiLevelType w:val="multilevel"/>
    <w:tmpl w:val="17149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FB3712"/>
    <w:multiLevelType w:val="multilevel"/>
    <w:tmpl w:val="E4CA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D1283F"/>
    <w:multiLevelType w:val="multilevel"/>
    <w:tmpl w:val="8080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1E2687"/>
    <w:multiLevelType w:val="multilevel"/>
    <w:tmpl w:val="81065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7CC28B6"/>
    <w:multiLevelType w:val="hybridMultilevel"/>
    <w:tmpl w:val="A934D9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830785"/>
    <w:multiLevelType w:val="hybridMultilevel"/>
    <w:tmpl w:val="765C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1550F5"/>
    <w:multiLevelType w:val="multilevel"/>
    <w:tmpl w:val="3AF2D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B1324E"/>
    <w:multiLevelType w:val="hybridMultilevel"/>
    <w:tmpl w:val="51C20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205604">
    <w:abstractNumId w:val="2"/>
  </w:num>
  <w:num w:numId="2" w16cid:durableId="914633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32"/>
  </w:num>
  <w:num w:numId="4" w16cid:durableId="663321470">
    <w:abstractNumId w:val="37"/>
  </w:num>
  <w:num w:numId="5" w16cid:durableId="162018194">
    <w:abstractNumId w:val="3"/>
  </w:num>
  <w:num w:numId="6" w16cid:durableId="64644634">
    <w:abstractNumId w:val="13"/>
  </w:num>
  <w:num w:numId="7" w16cid:durableId="2027907007">
    <w:abstractNumId w:val="29"/>
  </w:num>
  <w:num w:numId="8" w16cid:durableId="471412180">
    <w:abstractNumId w:val="12"/>
  </w:num>
  <w:num w:numId="9" w16cid:durableId="980813205">
    <w:abstractNumId w:val="1"/>
  </w:num>
  <w:num w:numId="10" w16cid:durableId="793132770">
    <w:abstractNumId w:val="9"/>
  </w:num>
  <w:num w:numId="11" w16cid:durableId="1086851412">
    <w:abstractNumId w:val="18"/>
  </w:num>
  <w:num w:numId="12" w16cid:durableId="1174303547">
    <w:abstractNumId w:val="4"/>
  </w:num>
  <w:num w:numId="13" w16cid:durableId="2100129948">
    <w:abstractNumId w:val="33"/>
  </w:num>
  <w:num w:numId="14" w16cid:durableId="1563324192">
    <w:abstractNumId w:val="27"/>
  </w:num>
  <w:num w:numId="15" w16cid:durableId="705569770">
    <w:abstractNumId w:val="30"/>
  </w:num>
  <w:num w:numId="16" w16cid:durableId="111291106">
    <w:abstractNumId w:val="6"/>
  </w:num>
  <w:num w:numId="17" w16cid:durableId="1952204828">
    <w:abstractNumId w:val="25"/>
  </w:num>
  <w:num w:numId="18" w16cid:durableId="467361020">
    <w:abstractNumId w:val="15"/>
  </w:num>
  <w:num w:numId="19" w16cid:durableId="1832141202">
    <w:abstractNumId w:val="24"/>
  </w:num>
  <w:num w:numId="20" w16cid:durableId="1039624216">
    <w:abstractNumId w:val="11"/>
  </w:num>
  <w:num w:numId="21" w16cid:durableId="659163590">
    <w:abstractNumId w:val="14"/>
  </w:num>
  <w:num w:numId="22" w16cid:durableId="2110006445">
    <w:abstractNumId w:val="17"/>
  </w:num>
  <w:num w:numId="23" w16cid:durableId="1797944648">
    <w:abstractNumId w:val="0"/>
  </w:num>
  <w:num w:numId="24" w16cid:durableId="2082213637">
    <w:abstractNumId w:val="16"/>
  </w:num>
  <w:num w:numId="25" w16cid:durableId="1752896399">
    <w:abstractNumId w:val="35"/>
  </w:num>
  <w:num w:numId="26" w16cid:durableId="1489051389">
    <w:abstractNumId w:val="39"/>
  </w:num>
  <w:num w:numId="27" w16cid:durableId="1232807736">
    <w:abstractNumId w:val="8"/>
  </w:num>
  <w:num w:numId="28" w16cid:durableId="682897662">
    <w:abstractNumId w:val="19"/>
  </w:num>
  <w:num w:numId="29" w16cid:durableId="1839425136">
    <w:abstractNumId w:val="23"/>
  </w:num>
  <w:num w:numId="30" w16cid:durableId="1138953172">
    <w:abstractNumId w:val="7"/>
  </w:num>
  <w:num w:numId="31" w16cid:durableId="1981228885">
    <w:abstractNumId w:val="22"/>
  </w:num>
  <w:num w:numId="32" w16cid:durableId="162092142">
    <w:abstractNumId w:val="20"/>
  </w:num>
  <w:num w:numId="33" w16cid:durableId="1804737737">
    <w:abstractNumId w:val="5"/>
  </w:num>
  <w:num w:numId="34" w16cid:durableId="1553032171">
    <w:abstractNumId w:val="41"/>
  </w:num>
  <w:num w:numId="35" w16cid:durableId="1743675783">
    <w:abstractNumId w:val="28"/>
  </w:num>
  <w:num w:numId="36" w16cid:durableId="1561593472">
    <w:abstractNumId w:val="36"/>
  </w:num>
  <w:num w:numId="37" w16cid:durableId="134027947">
    <w:abstractNumId w:val="38"/>
  </w:num>
  <w:num w:numId="38" w16cid:durableId="2017264115">
    <w:abstractNumId w:val="40"/>
  </w:num>
  <w:num w:numId="39" w16cid:durableId="520242129">
    <w:abstractNumId w:val="31"/>
  </w:num>
  <w:num w:numId="40" w16cid:durableId="1939561638">
    <w:abstractNumId w:val="34"/>
  </w:num>
  <w:num w:numId="41" w16cid:durableId="1492873178">
    <w:abstractNumId w:val="21"/>
  </w:num>
  <w:num w:numId="42" w16cid:durableId="877426441">
    <w:abstractNumId w:val="10"/>
  </w:num>
  <w:num w:numId="43" w16cid:durableId="62358126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007F2"/>
    <w:rsid w:val="000026B6"/>
    <w:rsid w:val="000026C6"/>
    <w:rsid w:val="000119FB"/>
    <w:rsid w:val="000139EE"/>
    <w:rsid w:val="00015B85"/>
    <w:rsid w:val="00017649"/>
    <w:rsid w:val="0001765A"/>
    <w:rsid w:val="0002000A"/>
    <w:rsid w:val="000230B3"/>
    <w:rsid w:val="0002341D"/>
    <w:rsid w:val="00026258"/>
    <w:rsid w:val="00026267"/>
    <w:rsid w:val="000270DE"/>
    <w:rsid w:val="000279C9"/>
    <w:rsid w:val="00030263"/>
    <w:rsid w:val="00030CBE"/>
    <w:rsid w:val="000378A7"/>
    <w:rsid w:val="00040A75"/>
    <w:rsid w:val="000426F8"/>
    <w:rsid w:val="00043408"/>
    <w:rsid w:val="00045B7F"/>
    <w:rsid w:val="00046B54"/>
    <w:rsid w:val="00046BA6"/>
    <w:rsid w:val="0005239B"/>
    <w:rsid w:val="00054B09"/>
    <w:rsid w:val="00060AAA"/>
    <w:rsid w:val="00062F1F"/>
    <w:rsid w:val="00070A65"/>
    <w:rsid w:val="0007320F"/>
    <w:rsid w:val="00074185"/>
    <w:rsid w:val="00075D79"/>
    <w:rsid w:val="00080F9A"/>
    <w:rsid w:val="00085624"/>
    <w:rsid w:val="0008695F"/>
    <w:rsid w:val="00087C5A"/>
    <w:rsid w:val="00091456"/>
    <w:rsid w:val="000918F6"/>
    <w:rsid w:val="00096CA6"/>
    <w:rsid w:val="00097119"/>
    <w:rsid w:val="000A145A"/>
    <w:rsid w:val="000B2597"/>
    <w:rsid w:val="000B25F9"/>
    <w:rsid w:val="000B30BE"/>
    <w:rsid w:val="000B42C8"/>
    <w:rsid w:val="000B5BB8"/>
    <w:rsid w:val="000C1967"/>
    <w:rsid w:val="000C430A"/>
    <w:rsid w:val="000C60C8"/>
    <w:rsid w:val="000D295A"/>
    <w:rsid w:val="000D2C07"/>
    <w:rsid w:val="000D55C9"/>
    <w:rsid w:val="000D734F"/>
    <w:rsid w:val="000E3F2C"/>
    <w:rsid w:val="000E44B4"/>
    <w:rsid w:val="000E4EC0"/>
    <w:rsid w:val="000E5778"/>
    <w:rsid w:val="000F0265"/>
    <w:rsid w:val="000F1E11"/>
    <w:rsid w:val="000F3205"/>
    <w:rsid w:val="00103CEB"/>
    <w:rsid w:val="00104425"/>
    <w:rsid w:val="001054ED"/>
    <w:rsid w:val="001056CC"/>
    <w:rsid w:val="0011042D"/>
    <w:rsid w:val="00111056"/>
    <w:rsid w:val="001150F9"/>
    <w:rsid w:val="00116B72"/>
    <w:rsid w:val="00122775"/>
    <w:rsid w:val="001230CD"/>
    <w:rsid w:val="00124778"/>
    <w:rsid w:val="001253A1"/>
    <w:rsid w:val="00125E6E"/>
    <w:rsid w:val="00126D7E"/>
    <w:rsid w:val="00127BEE"/>
    <w:rsid w:val="00131CD0"/>
    <w:rsid w:val="00131D75"/>
    <w:rsid w:val="00133576"/>
    <w:rsid w:val="00135BFF"/>
    <w:rsid w:val="001416AC"/>
    <w:rsid w:val="00141CAA"/>
    <w:rsid w:val="0014353F"/>
    <w:rsid w:val="00144EE1"/>
    <w:rsid w:val="0014511E"/>
    <w:rsid w:val="001452BD"/>
    <w:rsid w:val="00145459"/>
    <w:rsid w:val="001519EE"/>
    <w:rsid w:val="00152DE2"/>
    <w:rsid w:val="0015561F"/>
    <w:rsid w:val="00155F5D"/>
    <w:rsid w:val="00157180"/>
    <w:rsid w:val="00164D38"/>
    <w:rsid w:val="001652B8"/>
    <w:rsid w:val="00165647"/>
    <w:rsid w:val="001657AB"/>
    <w:rsid w:val="0016778E"/>
    <w:rsid w:val="00173204"/>
    <w:rsid w:val="00173D00"/>
    <w:rsid w:val="001810B5"/>
    <w:rsid w:val="0018129A"/>
    <w:rsid w:val="0018289C"/>
    <w:rsid w:val="00182F71"/>
    <w:rsid w:val="00183436"/>
    <w:rsid w:val="00184F8B"/>
    <w:rsid w:val="0018507B"/>
    <w:rsid w:val="00186150"/>
    <w:rsid w:val="00192A39"/>
    <w:rsid w:val="00192F40"/>
    <w:rsid w:val="0019410B"/>
    <w:rsid w:val="00196147"/>
    <w:rsid w:val="001A06B9"/>
    <w:rsid w:val="001A3E5F"/>
    <w:rsid w:val="001A4918"/>
    <w:rsid w:val="001A4F29"/>
    <w:rsid w:val="001A5150"/>
    <w:rsid w:val="001A6855"/>
    <w:rsid w:val="001A7D3A"/>
    <w:rsid w:val="001B0556"/>
    <w:rsid w:val="001B1BD1"/>
    <w:rsid w:val="001B37C5"/>
    <w:rsid w:val="001B40F3"/>
    <w:rsid w:val="001B69BB"/>
    <w:rsid w:val="001C02E9"/>
    <w:rsid w:val="001C109B"/>
    <w:rsid w:val="001C2893"/>
    <w:rsid w:val="001C44BB"/>
    <w:rsid w:val="001C58A6"/>
    <w:rsid w:val="001D18E0"/>
    <w:rsid w:val="001D26CA"/>
    <w:rsid w:val="001D4278"/>
    <w:rsid w:val="001D432B"/>
    <w:rsid w:val="001D46CD"/>
    <w:rsid w:val="001D58F4"/>
    <w:rsid w:val="001D6F0C"/>
    <w:rsid w:val="001E2415"/>
    <w:rsid w:val="001E59CF"/>
    <w:rsid w:val="001F1650"/>
    <w:rsid w:val="001F250F"/>
    <w:rsid w:val="001F2866"/>
    <w:rsid w:val="001F41AE"/>
    <w:rsid w:val="001F505B"/>
    <w:rsid w:val="001F57AC"/>
    <w:rsid w:val="001F7E64"/>
    <w:rsid w:val="002056E9"/>
    <w:rsid w:val="00210202"/>
    <w:rsid w:val="002113D3"/>
    <w:rsid w:val="00212802"/>
    <w:rsid w:val="00214B24"/>
    <w:rsid w:val="0021534F"/>
    <w:rsid w:val="002169BD"/>
    <w:rsid w:val="00221364"/>
    <w:rsid w:val="0022388D"/>
    <w:rsid w:val="0022460D"/>
    <w:rsid w:val="00224D89"/>
    <w:rsid w:val="00225C07"/>
    <w:rsid w:val="002267A3"/>
    <w:rsid w:val="00232A86"/>
    <w:rsid w:val="00234973"/>
    <w:rsid w:val="00240195"/>
    <w:rsid w:val="00240836"/>
    <w:rsid w:val="00244973"/>
    <w:rsid w:val="00246C6F"/>
    <w:rsid w:val="0025147D"/>
    <w:rsid w:val="00251977"/>
    <w:rsid w:val="00254A49"/>
    <w:rsid w:val="002555B6"/>
    <w:rsid w:val="00257990"/>
    <w:rsid w:val="0026034E"/>
    <w:rsid w:val="0026188F"/>
    <w:rsid w:val="00263A06"/>
    <w:rsid w:val="002663A2"/>
    <w:rsid w:val="0026795E"/>
    <w:rsid w:val="002733C7"/>
    <w:rsid w:val="0027542A"/>
    <w:rsid w:val="00275926"/>
    <w:rsid w:val="00275C3C"/>
    <w:rsid w:val="00277A38"/>
    <w:rsid w:val="002850D6"/>
    <w:rsid w:val="00292949"/>
    <w:rsid w:val="00292C1B"/>
    <w:rsid w:val="002951E3"/>
    <w:rsid w:val="00295E2E"/>
    <w:rsid w:val="002960C5"/>
    <w:rsid w:val="00297079"/>
    <w:rsid w:val="002A12B0"/>
    <w:rsid w:val="002A13CB"/>
    <w:rsid w:val="002A359B"/>
    <w:rsid w:val="002A4F17"/>
    <w:rsid w:val="002B5E79"/>
    <w:rsid w:val="002B6EFC"/>
    <w:rsid w:val="002C2302"/>
    <w:rsid w:val="002C5C7C"/>
    <w:rsid w:val="002C7453"/>
    <w:rsid w:val="002D134A"/>
    <w:rsid w:val="002D1D18"/>
    <w:rsid w:val="002D5E88"/>
    <w:rsid w:val="002D6FAD"/>
    <w:rsid w:val="002D7150"/>
    <w:rsid w:val="002E0CDC"/>
    <w:rsid w:val="002E3500"/>
    <w:rsid w:val="002E460E"/>
    <w:rsid w:val="002E5331"/>
    <w:rsid w:val="002E6759"/>
    <w:rsid w:val="002F0CE3"/>
    <w:rsid w:val="002F1271"/>
    <w:rsid w:val="002F15BD"/>
    <w:rsid w:val="002F5B77"/>
    <w:rsid w:val="002F5D61"/>
    <w:rsid w:val="0030270E"/>
    <w:rsid w:val="00302FCE"/>
    <w:rsid w:val="00303AFC"/>
    <w:rsid w:val="00305E62"/>
    <w:rsid w:val="003120D4"/>
    <w:rsid w:val="00312863"/>
    <w:rsid w:val="003133C9"/>
    <w:rsid w:val="00314258"/>
    <w:rsid w:val="00315F53"/>
    <w:rsid w:val="0031628C"/>
    <w:rsid w:val="003203EA"/>
    <w:rsid w:val="003214C3"/>
    <w:rsid w:val="00323759"/>
    <w:rsid w:val="00323ED1"/>
    <w:rsid w:val="00324735"/>
    <w:rsid w:val="0032528B"/>
    <w:rsid w:val="003266DF"/>
    <w:rsid w:val="00331675"/>
    <w:rsid w:val="00331B7F"/>
    <w:rsid w:val="00333A1E"/>
    <w:rsid w:val="00333E20"/>
    <w:rsid w:val="00337A6D"/>
    <w:rsid w:val="00341428"/>
    <w:rsid w:val="00341CEF"/>
    <w:rsid w:val="00344DAC"/>
    <w:rsid w:val="00346494"/>
    <w:rsid w:val="00351CD6"/>
    <w:rsid w:val="0035399E"/>
    <w:rsid w:val="0035563D"/>
    <w:rsid w:val="00361E8C"/>
    <w:rsid w:val="0037098F"/>
    <w:rsid w:val="00370D35"/>
    <w:rsid w:val="003724FA"/>
    <w:rsid w:val="00373609"/>
    <w:rsid w:val="00375A9C"/>
    <w:rsid w:val="00381B26"/>
    <w:rsid w:val="00382534"/>
    <w:rsid w:val="00382C8A"/>
    <w:rsid w:val="00385164"/>
    <w:rsid w:val="003866DC"/>
    <w:rsid w:val="0038788E"/>
    <w:rsid w:val="00391B3D"/>
    <w:rsid w:val="003921F7"/>
    <w:rsid w:val="0039255D"/>
    <w:rsid w:val="00394118"/>
    <w:rsid w:val="003949C9"/>
    <w:rsid w:val="003A40AA"/>
    <w:rsid w:val="003A7A18"/>
    <w:rsid w:val="003B3761"/>
    <w:rsid w:val="003B3915"/>
    <w:rsid w:val="003B4004"/>
    <w:rsid w:val="003C1EEB"/>
    <w:rsid w:val="003C3AAE"/>
    <w:rsid w:val="003C5926"/>
    <w:rsid w:val="003C7F49"/>
    <w:rsid w:val="003D27B8"/>
    <w:rsid w:val="003D38C0"/>
    <w:rsid w:val="003D5772"/>
    <w:rsid w:val="003D596A"/>
    <w:rsid w:val="003D6437"/>
    <w:rsid w:val="003D712E"/>
    <w:rsid w:val="003D7E75"/>
    <w:rsid w:val="003D7EBE"/>
    <w:rsid w:val="003E272E"/>
    <w:rsid w:val="003E27D4"/>
    <w:rsid w:val="003E6DA1"/>
    <w:rsid w:val="003E6FCE"/>
    <w:rsid w:val="003F119A"/>
    <w:rsid w:val="003F19FE"/>
    <w:rsid w:val="003F330C"/>
    <w:rsid w:val="003F578D"/>
    <w:rsid w:val="003F76C1"/>
    <w:rsid w:val="004010E2"/>
    <w:rsid w:val="004011FD"/>
    <w:rsid w:val="0040246D"/>
    <w:rsid w:val="00405283"/>
    <w:rsid w:val="00406D43"/>
    <w:rsid w:val="0040767D"/>
    <w:rsid w:val="0041741F"/>
    <w:rsid w:val="00424AF5"/>
    <w:rsid w:val="00425870"/>
    <w:rsid w:val="004264AB"/>
    <w:rsid w:val="004265DE"/>
    <w:rsid w:val="00430485"/>
    <w:rsid w:val="00433D1C"/>
    <w:rsid w:val="00434AE2"/>
    <w:rsid w:val="00434F86"/>
    <w:rsid w:val="004354F3"/>
    <w:rsid w:val="00435967"/>
    <w:rsid w:val="00436812"/>
    <w:rsid w:val="00442B70"/>
    <w:rsid w:val="004503EC"/>
    <w:rsid w:val="004507D3"/>
    <w:rsid w:val="00450DF3"/>
    <w:rsid w:val="00451821"/>
    <w:rsid w:val="00451868"/>
    <w:rsid w:val="00452D59"/>
    <w:rsid w:val="00454F26"/>
    <w:rsid w:val="00461B13"/>
    <w:rsid w:val="0046442C"/>
    <w:rsid w:val="00466719"/>
    <w:rsid w:val="004729B0"/>
    <w:rsid w:val="004744E0"/>
    <w:rsid w:val="00474E5C"/>
    <w:rsid w:val="00475945"/>
    <w:rsid w:val="00475CFC"/>
    <w:rsid w:val="00475D70"/>
    <w:rsid w:val="00481D5E"/>
    <w:rsid w:val="0048231F"/>
    <w:rsid w:val="004839F4"/>
    <w:rsid w:val="004846DD"/>
    <w:rsid w:val="00484F1D"/>
    <w:rsid w:val="00485DF4"/>
    <w:rsid w:val="00486FEE"/>
    <w:rsid w:val="0049322D"/>
    <w:rsid w:val="004964F3"/>
    <w:rsid w:val="00496EDF"/>
    <w:rsid w:val="004A0755"/>
    <w:rsid w:val="004A320C"/>
    <w:rsid w:val="004A3A6A"/>
    <w:rsid w:val="004A7C2A"/>
    <w:rsid w:val="004B1503"/>
    <w:rsid w:val="004B438B"/>
    <w:rsid w:val="004B4417"/>
    <w:rsid w:val="004C0587"/>
    <w:rsid w:val="004C51EE"/>
    <w:rsid w:val="004C744E"/>
    <w:rsid w:val="004C776E"/>
    <w:rsid w:val="004D0ADF"/>
    <w:rsid w:val="004D1ABE"/>
    <w:rsid w:val="004D3680"/>
    <w:rsid w:val="004D4C83"/>
    <w:rsid w:val="004E0580"/>
    <w:rsid w:val="004E22B6"/>
    <w:rsid w:val="004E3ADB"/>
    <w:rsid w:val="004E55E8"/>
    <w:rsid w:val="004E5A8F"/>
    <w:rsid w:val="004F132C"/>
    <w:rsid w:val="004F35AD"/>
    <w:rsid w:val="004F420F"/>
    <w:rsid w:val="004F4588"/>
    <w:rsid w:val="004F6CF3"/>
    <w:rsid w:val="004F7B4A"/>
    <w:rsid w:val="00506058"/>
    <w:rsid w:val="00507647"/>
    <w:rsid w:val="00510ACB"/>
    <w:rsid w:val="00515B42"/>
    <w:rsid w:val="00515D0B"/>
    <w:rsid w:val="0051752A"/>
    <w:rsid w:val="00520C4B"/>
    <w:rsid w:val="00521C30"/>
    <w:rsid w:val="00522292"/>
    <w:rsid w:val="00525BA2"/>
    <w:rsid w:val="00530663"/>
    <w:rsid w:val="00532612"/>
    <w:rsid w:val="005358EE"/>
    <w:rsid w:val="005360E6"/>
    <w:rsid w:val="005400DC"/>
    <w:rsid w:val="0054107B"/>
    <w:rsid w:val="00545346"/>
    <w:rsid w:val="0054694C"/>
    <w:rsid w:val="005470A0"/>
    <w:rsid w:val="005476F7"/>
    <w:rsid w:val="00547D16"/>
    <w:rsid w:val="0055022C"/>
    <w:rsid w:val="005549D9"/>
    <w:rsid w:val="00556701"/>
    <w:rsid w:val="00556E29"/>
    <w:rsid w:val="00557BA7"/>
    <w:rsid w:val="00560732"/>
    <w:rsid w:val="00560F08"/>
    <w:rsid w:val="00562477"/>
    <w:rsid w:val="00562F1D"/>
    <w:rsid w:val="0056600A"/>
    <w:rsid w:val="00566D6D"/>
    <w:rsid w:val="00572D23"/>
    <w:rsid w:val="00573F94"/>
    <w:rsid w:val="00580DCE"/>
    <w:rsid w:val="00582063"/>
    <w:rsid w:val="00586FB1"/>
    <w:rsid w:val="0059644F"/>
    <w:rsid w:val="005A1B28"/>
    <w:rsid w:val="005A28F6"/>
    <w:rsid w:val="005A7684"/>
    <w:rsid w:val="005B0EF0"/>
    <w:rsid w:val="005B1906"/>
    <w:rsid w:val="005B3A4A"/>
    <w:rsid w:val="005B647C"/>
    <w:rsid w:val="005B749B"/>
    <w:rsid w:val="005B7DCB"/>
    <w:rsid w:val="005C00AE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30C5"/>
    <w:rsid w:val="005E4120"/>
    <w:rsid w:val="005E4DB0"/>
    <w:rsid w:val="005E6D4A"/>
    <w:rsid w:val="005E6FF1"/>
    <w:rsid w:val="005F075A"/>
    <w:rsid w:val="005F0C58"/>
    <w:rsid w:val="005F1B59"/>
    <w:rsid w:val="005F2E6D"/>
    <w:rsid w:val="005F3FD4"/>
    <w:rsid w:val="005F7BAE"/>
    <w:rsid w:val="00605462"/>
    <w:rsid w:val="006075BA"/>
    <w:rsid w:val="0061396D"/>
    <w:rsid w:val="00614730"/>
    <w:rsid w:val="00615150"/>
    <w:rsid w:val="0061555F"/>
    <w:rsid w:val="00623464"/>
    <w:rsid w:val="0062588B"/>
    <w:rsid w:val="00625AD9"/>
    <w:rsid w:val="00630500"/>
    <w:rsid w:val="0063277D"/>
    <w:rsid w:val="00635BE4"/>
    <w:rsid w:val="00640C86"/>
    <w:rsid w:val="006411CD"/>
    <w:rsid w:val="00645008"/>
    <w:rsid w:val="00646047"/>
    <w:rsid w:val="00646957"/>
    <w:rsid w:val="00646C6B"/>
    <w:rsid w:val="00647128"/>
    <w:rsid w:val="0064771E"/>
    <w:rsid w:val="006504CB"/>
    <w:rsid w:val="00651AA9"/>
    <w:rsid w:val="0065259C"/>
    <w:rsid w:val="006529EF"/>
    <w:rsid w:val="00652D15"/>
    <w:rsid w:val="00653377"/>
    <w:rsid w:val="00653861"/>
    <w:rsid w:val="0065662B"/>
    <w:rsid w:val="00657786"/>
    <w:rsid w:val="006607CA"/>
    <w:rsid w:val="00660B1F"/>
    <w:rsid w:val="00663265"/>
    <w:rsid w:val="00664F20"/>
    <w:rsid w:val="0066677E"/>
    <w:rsid w:val="00673CAB"/>
    <w:rsid w:val="00673F17"/>
    <w:rsid w:val="00674C1C"/>
    <w:rsid w:val="00676325"/>
    <w:rsid w:val="00676545"/>
    <w:rsid w:val="00680A06"/>
    <w:rsid w:val="006827B9"/>
    <w:rsid w:val="00683456"/>
    <w:rsid w:val="00683AC5"/>
    <w:rsid w:val="00684AB2"/>
    <w:rsid w:val="00684E74"/>
    <w:rsid w:val="00690163"/>
    <w:rsid w:val="00692578"/>
    <w:rsid w:val="00693171"/>
    <w:rsid w:val="0069433B"/>
    <w:rsid w:val="006A60E5"/>
    <w:rsid w:val="006A7540"/>
    <w:rsid w:val="006B0A1B"/>
    <w:rsid w:val="006B1A20"/>
    <w:rsid w:val="006B2D5D"/>
    <w:rsid w:val="006B3997"/>
    <w:rsid w:val="006B573C"/>
    <w:rsid w:val="006B5C05"/>
    <w:rsid w:val="006C2AF0"/>
    <w:rsid w:val="006C3E97"/>
    <w:rsid w:val="006C4C6E"/>
    <w:rsid w:val="006C632C"/>
    <w:rsid w:val="006C6E7F"/>
    <w:rsid w:val="006D5D71"/>
    <w:rsid w:val="006E24D2"/>
    <w:rsid w:val="006E5616"/>
    <w:rsid w:val="006E59E2"/>
    <w:rsid w:val="006E5EF6"/>
    <w:rsid w:val="006E7501"/>
    <w:rsid w:val="006F522D"/>
    <w:rsid w:val="006F52A2"/>
    <w:rsid w:val="006F7161"/>
    <w:rsid w:val="00704512"/>
    <w:rsid w:val="007047DF"/>
    <w:rsid w:val="007054A9"/>
    <w:rsid w:val="007164E4"/>
    <w:rsid w:val="00716743"/>
    <w:rsid w:val="0071752C"/>
    <w:rsid w:val="00720711"/>
    <w:rsid w:val="00721283"/>
    <w:rsid w:val="00721B74"/>
    <w:rsid w:val="00724480"/>
    <w:rsid w:val="00724B90"/>
    <w:rsid w:val="00741314"/>
    <w:rsid w:val="007416A3"/>
    <w:rsid w:val="00742031"/>
    <w:rsid w:val="00743B2D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D07"/>
    <w:rsid w:val="00774F1A"/>
    <w:rsid w:val="00776CCD"/>
    <w:rsid w:val="00777099"/>
    <w:rsid w:val="007830D8"/>
    <w:rsid w:val="00783C8F"/>
    <w:rsid w:val="00783EE0"/>
    <w:rsid w:val="00784AE6"/>
    <w:rsid w:val="00784F4B"/>
    <w:rsid w:val="00792427"/>
    <w:rsid w:val="00793345"/>
    <w:rsid w:val="00795547"/>
    <w:rsid w:val="007A1FBB"/>
    <w:rsid w:val="007A3B2C"/>
    <w:rsid w:val="007A6DED"/>
    <w:rsid w:val="007B5BF4"/>
    <w:rsid w:val="007B657D"/>
    <w:rsid w:val="007B66E7"/>
    <w:rsid w:val="007C239D"/>
    <w:rsid w:val="007C5EAB"/>
    <w:rsid w:val="007C699F"/>
    <w:rsid w:val="007C6B07"/>
    <w:rsid w:val="007C6EBB"/>
    <w:rsid w:val="007E07D2"/>
    <w:rsid w:val="007E1A60"/>
    <w:rsid w:val="007E4575"/>
    <w:rsid w:val="007E4E89"/>
    <w:rsid w:val="007E7A89"/>
    <w:rsid w:val="007F0AD9"/>
    <w:rsid w:val="007F31C2"/>
    <w:rsid w:val="007F7A9A"/>
    <w:rsid w:val="008031A6"/>
    <w:rsid w:val="008035D8"/>
    <w:rsid w:val="00803717"/>
    <w:rsid w:val="008077F1"/>
    <w:rsid w:val="0081108F"/>
    <w:rsid w:val="008116DD"/>
    <w:rsid w:val="00815865"/>
    <w:rsid w:val="008168EE"/>
    <w:rsid w:val="00820C25"/>
    <w:rsid w:val="00820D07"/>
    <w:rsid w:val="00821E0F"/>
    <w:rsid w:val="00821E6F"/>
    <w:rsid w:val="00821FA8"/>
    <w:rsid w:val="0082539A"/>
    <w:rsid w:val="0082600F"/>
    <w:rsid w:val="00827B67"/>
    <w:rsid w:val="008301AE"/>
    <w:rsid w:val="00831C99"/>
    <w:rsid w:val="00832EBF"/>
    <w:rsid w:val="0084396B"/>
    <w:rsid w:val="00851589"/>
    <w:rsid w:val="00852158"/>
    <w:rsid w:val="00854AE6"/>
    <w:rsid w:val="00855B62"/>
    <w:rsid w:val="00856EC7"/>
    <w:rsid w:val="00861D0E"/>
    <w:rsid w:val="00862633"/>
    <w:rsid w:val="008648A3"/>
    <w:rsid w:val="00864E24"/>
    <w:rsid w:val="00865856"/>
    <w:rsid w:val="00872E13"/>
    <w:rsid w:val="0087655E"/>
    <w:rsid w:val="00882ADF"/>
    <w:rsid w:val="00884327"/>
    <w:rsid w:val="00884660"/>
    <w:rsid w:val="008850FB"/>
    <w:rsid w:val="00886BB3"/>
    <w:rsid w:val="00887C3F"/>
    <w:rsid w:val="00890AE9"/>
    <w:rsid w:val="00891E89"/>
    <w:rsid w:val="008A0225"/>
    <w:rsid w:val="008A14BB"/>
    <w:rsid w:val="008A1BF1"/>
    <w:rsid w:val="008A3215"/>
    <w:rsid w:val="008A3B4B"/>
    <w:rsid w:val="008A5AE1"/>
    <w:rsid w:val="008B0FED"/>
    <w:rsid w:val="008B2007"/>
    <w:rsid w:val="008B219E"/>
    <w:rsid w:val="008B319C"/>
    <w:rsid w:val="008B7036"/>
    <w:rsid w:val="008C2C66"/>
    <w:rsid w:val="008C542A"/>
    <w:rsid w:val="008C6733"/>
    <w:rsid w:val="008C7422"/>
    <w:rsid w:val="008C7DF1"/>
    <w:rsid w:val="008D0240"/>
    <w:rsid w:val="008D16A1"/>
    <w:rsid w:val="008D16E2"/>
    <w:rsid w:val="008D1DB5"/>
    <w:rsid w:val="008D3759"/>
    <w:rsid w:val="008D5762"/>
    <w:rsid w:val="008D6328"/>
    <w:rsid w:val="008D6873"/>
    <w:rsid w:val="008D6FBD"/>
    <w:rsid w:val="008E1240"/>
    <w:rsid w:val="008E131E"/>
    <w:rsid w:val="008E2A61"/>
    <w:rsid w:val="008F0B37"/>
    <w:rsid w:val="008F10D1"/>
    <w:rsid w:val="008F1EC6"/>
    <w:rsid w:val="008F2132"/>
    <w:rsid w:val="008F52B3"/>
    <w:rsid w:val="008F7436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16EB2"/>
    <w:rsid w:val="0092013B"/>
    <w:rsid w:val="00921DC0"/>
    <w:rsid w:val="009252B8"/>
    <w:rsid w:val="0092588F"/>
    <w:rsid w:val="0092672B"/>
    <w:rsid w:val="009332A7"/>
    <w:rsid w:val="009420C4"/>
    <w:rsid w:val="00944EE3"/>
    <w:rsid w:val="009456F5"/>
    <w:rsid w:val="00946B4B"/>
    <w:rsid w:val="00946FD9"/>
    <w:rsid w:val="0095005E"/>
    <w:rsid w:val="00950201"/>
    <w:rsid w:val="0095059C"/>
    <w:rsid w:val="00953BBF"/>
    <w:rsid w:val="00954C24"/>
    <w:rsid w:val="00955C69"/>
    <w:rsid w:val="00955EA8"/>
    <w:rsid w:val="00957E14"/>
    <w:rsid w:val="00960903"/>
    <w:rsid w:val="00960D76"/>
    <w:rsid w:val="00962A4D"/>
    <w:rsid w:val="00966734"/>
    <w:rsid w:val="0097187E"/>
    <w:rsid w:val="009801BA"/>
    <w:rsid w:val="0098212D"/>
    <w:rsid w:val="0098763F"/>
    <w:rsid w:val="00990B70"/>
    <w:rsid w:val="0099247A"/>
    <w:rsid w:val="00992FFF"/>
    <w:rsid w:val="00996039"/>
    <w:rsid w:val="00997EBE"/>
    <w:rsid w:val="009A00D3"/>
    <w:rsid w:val="009A07C7"/>
    <w:rsid w:val="009A1C4A"/>
    <w:rsid w:val="009A26EC"/>
    <w:rsid w:val="009A521F"/>
    <w:rsid w:val="009A5C33"/>
    <w:rsid w:val="009A5EDC"/>
    <w:rsid w:val="009B1199"/>
    <w:rsid w:val="009B11A5"/>
    <w:rsid w:val="009B1BD1"/>
    <w:rsid w:val="009B26B2"/>
    <w:rsid w:val="009B4E00"/>
    <w:rsid w:val="009B5647"/>
    <w:rsid w:val="009B7DA2"/>
    <w:rsid w:val="009C1CDF"/>
    <w:rsid w:val="009C3762"/>
    <w:rsid w:val="009C4D56"/>
    <w:rsid w:val="009C78BF"/>
    <w:rsid w:val="009D1180"/>
    <w:rsid w:val="009D1AA5"/>
    <w:rsid w:val="009D25C4"/>
    <w:rsid w:val="009D3C3E"/>
    <w:rsid w:val="009D58D4"/>
    <w:rsid w:val="009E470B"/>
    <w:rsid w:val="009E6937"/>
    <w:rsid w:val="009E7BBF"/>
    <w:rsid w:val="009F077B"/>
    <w:rsid w:val="009F0AE3"/>
    <w:rsid w:val="009F1573"/>
    <w:rsid w:val="009F4F44"/>
    <w:rsid w:val="009F63C5"/>
    <w:rsid w:val="00A02266"/>
    <w:rsid w:val="00A03F96"/>
    <w:rsid w:val="00A07089"/>
    <w:rsid w:val="00A10ACD"/>
    <w:rsid w:val="00A16D14"/>
    <w:rsid w:val="00A16F8A"/>
    <w:rsid w:val="00A17AA1"/>
    <w:rsid w:val="00A21BA5"/>
    <w:rsid w:val="00A2317F"/>
    <w:rsid w:val="00A24FC2"/>
    <w:rsid w:val="00A25C42"/>
    <w:rsid w:val="00A30B31"/>
    <w:rsid w:val="00A312E6"/>
    <w:rsid w:val="00A34754"/>
    <w:rsid w:val="00A40891"/>
    <w:rsid w:val="00A40A3F"/>
    <w:rsid w:val="00A419BD"/>
    <w:rsid w:val="00A43EBA"/>
    <w:rsid w:val="00A54888"/>
    <w:rsid w:val="00A56F7E"/>
    <w:rsid w:val="00A637C7"/>
    <w:rsid w:val="00A66E77"/>
    <w:rsid w:val="00A67106"/>
    <w:rsid w:val="00A71322"/>
    <w:rsid w:val="00A71395"/>
    <w:rsid w:val="00A71487"/>
    <w:rsid w:val="00A742EE"/>
    <w:rsid w:val="00A8082C"/>
    <w:rsid w:val="00A8100E"/>
    <w:rsid w:val="00A84439"/>
    <w:rsid w:val="00A8769E"/>
    <w:rsid w:val="00A90151"/>
    <w:rsid w:val="00A911FE"/>
    <w:rsid w:val="00A91615"/>
    <w:rsid w:val="00A9299F"/>
    <w:rsid w:val="00A95AE3"/>
    <w:rsid w:val="00A95BD9"/>
    <w:rsid w:val="00A972F5"/>
    <w:rsid w:val="00AA1CB5"/>
    <w:rsid w:val="00AA41E7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C2C1C"/>
    <w:rsid w:val="00AC3FF8"/>
    <w:rsid w:val="00AD09E9"/>
    <w:rsid w:val="00AD4E46"/>
    <w:rsid w:val="00AE0AE8"/>
    <w:rsid w:val="00AE10E4"/>
    <w:rsid w:val="00AE26BA"/>
    <w:rsid w:val="00AE296E"/>
    <w:rsid w:val="00AE3AE6"/>
    <w:rsid w:val="00AE6A2E"/>
    <w:rsid w:val="00AF1D33"/>
    <w:rsid w:val="00AF357D"/>
    <w:rsid w:val="00AF40FC"/>
    <w:rsid w:val="00AF6A59"/>
    <w:rsid w:val="00B013B8"/>
    <w:rsid w:val="00B06C61"/>
    <w:rsid w:val="00B07C82"/>
    <w:rsid w:val="00B10F27"/>
    <w:rsid w:val="00B13F10"/>
    <w:rsid w:val="00B24866"/>
    <w:rsid w:val="00B27FCD"/>
    <w:rsid w:val="00B30718"/>
    <w:rsid w:val="00B31404"/>
    <w:rsid w:val="00B3219B"/>
    <w:rsid w:val="00B340AE"/>
    <w:rsid w:val="00B36E4A"/>
    <w:rsid w:val="00B36EBE"/>
    <w:rsid w:val="00B371AB"/>
    <w:rsid w:val="00B4348A"/>
    <w:rsid w:val="00B45314"/>
    <w:rsid w:val="00B51A2B"/>
    <w:rsid w:val="00B5271A"/>
    <w:rsid w:val="00B54042"/>
    <w:rsid w:val="00B540BE"/>
    <w:rsid w:val="00B552A5"/>
    <w:rsid w:val="00B55308"/>
    <w:rsid w:val="00B55721"/>
    <w:rsid w:val="00B55BCA"/>
    <w:rsid w:val="00B56EDC"/>
    <w:rsid w:val="00B60380"/>
    <w:rsid w:val="00B610FB"/>
    <w:rsid w:val="00B6352F"/>
    <w:rsid w:val="00B65C8A"/>
    <w:rsid w:val="00B67B73"/>
    <w:rsid w:val="00B67EEC"/>
    <w:rsid w:val="00B701CB"/>
    <w:rsid w:val="00B709C8"/>
    <w:rsid w:val="00B740C3"/>
    <w:rsid w:val="00B7633F"/>
    <w:rsid w:val="00B81A10"/>
    <w:rsid w:val="00B81E5C"/>
    <w:rsid w:val="00B82E7A"/>
    <w:rsid w:val="00B8653E"/>
    <w:rsid w:val="00B91EC4"/>
    <w:rsid w:val="00B94985"/>
    <w:rsid w:val="00B967B4"/>
    <w:rsid w:val="00BA64DF"/>
    <w:rsid w:val="00BA659D"/>
    <w:rsid w:val="00BB00F0"/>
    <w:rsid w:val="00BB036F"/>
    <w:rsid w:val="00BB1196"/>
    <w:rsid w:val="00BB1D17"/>
    <w:rsid w:val="00BB330A"/>
    <w:rsid w:val="00BB5B97"/>
    <w:rsid w:val="00BB7AF4"/>
    <w:rsid w:val="00BC1C89"/>
    <w:rsid w:val="00BD39CE"/>
    <w:rsid w:val="00BD5F30"/>
    <w:rsid w:val="00BD5FF1"/>
    <w:rsid w:val="00BE1A8A"/>
    <w:rsid w:val="00BE2DDF"/>
    <w:rsid w:val="00BE3D27"/>
    <w:rsid w:val="00BE794F"/>
    <w:rsid w:val="00BF4071"/>
    <w:rsid w:val="00BF5B16"/>
    <w:rsid w:val="00C0069B"/>
    <w:rsid w:val="00C022A4"/>
    <w:rsid w:val="00C02CD2"/>
    <w:rsid w:val="00C04712"/>
    <w:rsid w:val="00C10C12"/>
    <w:rsid w:val="00C13E12"/>
    <w:rsid w:val="00C14F91"/>
    <w:rsid w:val="00C166CE"/>
    <w:rsid w:val="00C17FD0"/>
    <w:rsid w:val="00C210E9"/>
    <w:rsid w:val="00C22079"/>
    <w:rsid w:val="00C24415"/>
    <w:rsid w:val="00C26061"/>
    <w:rsid w:val="00C275F6"/>
    <w:rsid w:val="00C3055E"/>
    <w:rsid w:val="00C32EE2"/>
    <w:rsid w:val="00C330DD"/>
    <w:rsid w:val="00C3417B"/>
    <w:rsid w:val="00C35E0E"/>
    <w:rsid w:val="00C44E51"/>
    <w:rsid w:val="00C47213"/>
    <w:rsid w:val="00C531A1"/>
    <w:rsid w:val="00C5378B"/>
    <w:rsid w:val="00C54BD5"/>
    <w:rsid w:val="00C55791"/>
    <w:rsid w:val="00C56178"/>
    <w:rsid w:val="00C5795D"/>
    <w:rsid w:val="00C615AD"/>
    <w:rsid w:val="00C62411"/>
    <w:rsid w:val="00C62C56"/>
    <w:rsid w:val="00C62D20"/>
    <w:rsid w:val="00C64445"/>
    <w:rsid w:val="00C6627E"/>
    <w:rsid w:val="00C6777F"/>
    <w:rsid w:val="00C75834"/>
    <w:rsid w:val="00C81248"/>
    <w:rsid w:val="00C81AC5"/>
    <w:rsid w:val="00C8275A"/>
    <w:rsid w:val="00C8407A"/>
    <w:rsid w:val="00C85AE8"/>
    <w:rsid w:val="00C94416"/>
    <w:rsid w:val="00C944C3"/>
    <w:rsid w:val="00CA1FE7"/>
    <w:rsid w:val="00CA30A6"/>
    <w:rsid w:val="00CB23AD"/>
    <w:rsid w:val="00CB36B5"/>
    <w:rsid w:val="00CB5726"/>
    <w:rsid w:val="00CC0AF8"/>
    <w:rsid w:val="00CC1A8D"/>
    <w:rsid w:val="00CC456A"/>
    <w:rsid w:val="00CC51F2"/>
    <w:rsid w:val="00CD267F"/>
    <w:rsid w:val="00CD4414"/>
    <w:rsid w:val="00CD57AD"/>
    <w:rsid w:val="00CD5B77"/>
    <w:rsid w:val="00CD71F5"/>
    <w:rsid w:val="00CD778D"/>
    <w:rsid w:val="00CE2CE4"/>
    <w:rsid w:val="00CE31D7"/>
    <w:rsid w:val="00CE3200"/>
    <w:rsid w:val="00CE5195"/>
    <w:rsid w:val="00CE5244"/>
    <w:rsid w:val="00CE5251"/>
    <w:rsid w:val="00CE5416"/>
    <w:rsid w:val="00CE757D"/>
    <w:rsid w:val="00CF2264"/>
    <w:rsid w:val="00CF7028"/>
    <w:rsid w:val="00D026C6"/>
    <w:rsid w:val="00D04DB8"/>
    <w:rsid w:val="00D04F72"/>
    <w:rsid w:val="00D07004"/>
    <w:rsid w:val="00D12341"/>
    <w:rsid w:val="00D12F4C"/>
    <w:rsid w:val="00D2040B"/>
    <w:rsid w:val="00D30671"/>
    <w:rsid w:val="00D319CD"/>
    <w:rsid w:val="00D321A0"/>
    <w:rsid w:val="00D330A6"/>
    <w:rsid w:val="00D3328D"/>
    <w:rsid w:val="00D40C61"/>
    <w:rsid w:val="00D41658"/>
    <w:rsid w:val="00D4219A"/>
    <w:rsid w:val="00D427D5"/>
    <w:rsid w:val="00D43116"/>
    <w:rsid w:val="00D43813"/>
    <w:rsid w:val="00D45001"/>
    <w:rsid w:val="00D45644"/>
    <w:rsid w:val="00D47BA5"/>
    <w:rsid w:val="00D52ECE"/>
    <w:rsid w:val="00D56D05"/>
    <w:rsid w:val="00D574EB"/>
    <w:rsid w:val="00D61BC8"/>
    <w:rsid w:val="00D62DD6"/>
    <w:rsid w:val="00D63A3C"/>
    <w:rsid w:val="00D63F41"/>
    <w:rsid w:val="00D6506C"/>
    <w:rsid w:val="00D655FA"/>
    <w:rsid w:val="00D74B9D"/>
    <w:rsid w:val="00D752F3"/>
    <w:rsid w:val="00D82D70"/>
    <w:rsid w:val="00D8460D"/>
    <w:rsid w:val="00D908F6"/>
    <w:rsid w:val="00D90D81"/>
    <w:rsid w:val="00D91776"/>
    <w:rsid w:val="00D91A67"/>
    <w:rsid w:val="00D92F08"/>
    <w:rsid w:val="00D97F2C"/>
    <w:rsid w:val="00DA1C4D"/>
    <w:rsid w:val="00DA1F55"/>
    <w:rsid w:val="00DA490B"/>
    <w:rsid w:val="00DA50D5"/>
    <w:rsid w:val="00DB2334"/>
    <w:rsid w:val="00DB2380"/>
    <w:rsid w:val="00DB2B50"/>
    <w:rsid w:val="00DB3348"/>
    <w:rsid w:val="00DB68DE"/>
    <w:rsid w:val="00DC0DAA"/>
    <w:rsid w:val="00DC22BC"/>
    <w:rsid w:val="00DC42F7"/>
    <w:rsid w:val="00DC68E8"/>
    <w:rsid w:val="00DD1BDB"/>
    <w:rsid w:val="00DD53DF"/>
    <w:rsid w:val="00DE054C"/>
    <w:rsid w:val="00DE23A1"/>
    <w:rsid w:val="00DE6457"/>
    <w:rsid w:val="00DE6E48"/>
    <w:rsid w:val="00DE779B"/>
    <w:rsid w:val="00DE791A"/>
    <w:rsid w:val="00DE7E5D"/>
    <w:rsid w:val="00DF04CB"/>
    <w:rsid w:val="00DF2A92"/>
    <w:rsid w:val="00DF2DA8"/>
    <w:rsid w:val="00DF3E1B"/>
    <w:rsid w:val="00DF3FB5"/>
    <w:rsid w:val="00DF4201"/>
    <w:rsid w:val="00DF6041"/>
    <w:rsid w:val="00DF69A4"/>
    <w:rsid w:val="00DF705F"/>
    <w:rsid w:val="00E00127"/>
    <w:rsid w:val="00E05D99"/>
    <w:rsid w:val="00E070A2"/>
    <w:rsid w:val="00E105C4"/>
    <w:rsid w:val="00E10A3F"/>
    <w:rsid w:val="00E10BA8"/>
    <w:rsid w:val="00E16F93"/>
    <w:rsid w:val="00E200FB"/>
    <w:rsid w:val="00E21B4A"/>
    <w:rsid w:val="00E23318"/>
    <w:rsid w:val="00E25D87"/>
    <w:rsid w:val="00E2649F"/>
    <w:rsid w:val="00E27FAD"/>
    <w:rsid w:val="00E3337A"/>
    <w:rsid w:val="00E34AAA"/>
    <w:rsid w:val="00E35A99"/>
    <w:rsid w:val="00E40B44"/>
    <w:rsid w:val="00E433A3"/>
    <w:rsid w:val="00E47BE0"/>
    <w:rsid w:val="00E55A19"/>
    <w:rsid w:val="00E56688"/>
    <w:rsid w:val="00E56D50"/>
    <w:rsid w:val="00E63AFB"/>
    <w:rsid w:val="00E6407D"/>
    <w:rsid w:val="00E6512B"/>
    <w:rsid w:val="00E6574E"/>
    <w:rsid w:val="00E65D9D"/>
    <w:rsid w:val="00E71358"/>
    <w:rsid w:val="00E720D9"/>
    <w:rsid w:val="00E7270A"/>
    <w:rsid w:val="00E73ACD"/>
    <w:rsid w:val="00E74A7F"/>
    <w:rsid w:val="00E7566B"/>
    <w:rsid w:val="00E76917"/>
    <w:rsid w:val="00E76AED"/>
    <w:rsid w:val="00E84818"/>
    <w:rsid w:val="00E86052"/>
    <w:rsid w:val="00E873EF"/>
    <w:rsid w:val="00E90745"/>
    <w:rsid w:val="00E94051"/>
    <w:rsid w:val="00E96ADD"/>
    <w:rsid w:val="00E97237"/>
    <w:rsid w:val="00EA7001"/>
    <w:rsid w:val="00EA7B17"/>
    <w:rsid w:val="00EB079F"/>
    <w:rsid w:val="00EB0EE6"/>
    <w:rsid w:val="00EB588E"/>
    <w:rsid w:val="00EB7572"/>
    <w:rsid w:val="00EC2E7C"/>
    <w:rsid w:val="00EC2F5F"/>
    <w:rsid w:val="00EC2FD2"/>
    <w:rsid w:val="00EC3E37"/>
    <w:rsid w:val="00EC66DE"/>
    <w:rsid w:val="00EC78A5"/>
    <w:rsid w:val="00ED79B6"/>
    <w:rsid w:val="00EE14AF"/>
    <w:rsid w:val="00EE175F"/>
    <w:rsid w:val="00EF13C4"/>
    <w:rsid w:val="00EF2AC7"/>
    <w:rsid w:val="00EF7B90"/>
    <w:rsid w:val="00F01744"/>
    <w:rsid w:val="00F01DFC"/>
    <w:rsid w:val="00F0229E"/>
    <w:rsid w:val="00F025F0"/>
    <w:rsid w:val="00F10436"/>
    <w:rsid w:val="00F14FDE"/>
    <w:rsid w:val="00F16431"/>
    <w:rsid w:val="00F203C2"/>
    <w:rsid w:val="00F2323A"/>
    <w:rsid w:val="00F242CA"/>
    <w:rsid w:val="00F249B1"/>
    <w:rsid w:val="00F26827"/>
    <w:rsid w:val="00F27AE4"/>
    <w:rsid w:val="00F31C6E"/>
    <w:rsid w:val="00F3288B"/>
    <w:rsid w:val="00F32CB4"/>
    <w:rsid w:val="00F3663A"/>
    <w:rsid w:val="00F37DBB"/>
    <w:rsid w:val="00F41395"/>
    <w:rsid w:val="00F41737"/>
    <w:rsid w:val="00F42A53"/>
    <w:rsid w:val="00F46D10"/>
    <w:rsid w:val="00F4711F"/>
    <w:rsid w:val="00F506D8"/>
    <w:rsid w:val="00F5185B"/>
    <w:rsid w:val="00F522CD"/>
    <w:rsid w:val="00F52B20"/>
    <w:rsid w:val="00F547AE"/>
    <w:rsid w:val="00F54E67"/>
    <w:rsid w:val="00F55061"/>
    <w:rsid w:val="00F55ABC"/>
    <w:rsid w:val="00F56A8C"/>
    <w:rsid w:val="00F6002B"/>
    <w:rsid w:val="00F60963"/>
    <w:rsid w:val="00F646C5"/>
    <w:rsid w:val="00F64B79"/>
    <w:rsid w:val="00F64BF2"/>
    <w:rsid w:val="00F66E00"/>
    <w:rsid w:val="00F6770D"/>
    <w:rsid w:val="00F67D79"/>
    <w:rsid w:val="00F67EED"/>
    <w:rsid w:val="00F67F3A"/>
    <w:rsid w:val="00F67F57"/>
    <w:rsid w:val="00F70526"/>
    <w:rsid w:val="00F85121"/>
    <w:rsid w:val="00F9140D"/>
    <w:rsid w:val="00F92D56"/>
    <w:rsid w:val="00F93CD6"/>
    <w:rsid w:val="00F94470"/>
    <w:rsid w:val="00F97C0C"/>
    <w:rsid w:val="00FA2042"/>
    <w:rsid w:val="00FA7B2D"/>
    <w:rsid w:val="00FB4A58"/>
    <w:rsid w:val="00FB524A"/>
    <w:rsid w:val="00FB560E"/>
    <w:rsid w:val="00FB56EE"/>
    <w:rsid w:val="00FB5D97"/>
    <w:rsid w:val="00FB644E"/>
    <w:rsid w:val="00FB747A"/>
    <w:rsid w:val="00FC0C52"/>
    <w:rsid w:val="00FC1A0F"/>
    <w:rsid w:val="00FC1B2D"/>
    <w:rsid w:val="00FC3032"/>
    <w:rsid w:val="00FC4DBA"/>
    <w:rsid w:val="00FC6ECF"/>
    <w:rsid w:val="00FD1AE5"/>
    <w:rsid w:val="00FD2632"/>
    <w:rsid w:val="00FD3141"/>
    <w:rsid w:val="00FD60DA"/>
    <w:rsid w:val="00FD6C7A"/>
    <w:rsid w:val="00FD6FC4"/>
    <w:rsid w:val="00FE0740"/>
    <w:rsid w:val="00FE07F2"/>
    <w:rsid w:val="00FE148C"/>
    <w:rsid w:val="00FE1A5E"/>
    <w:rsid w:val="00FE40D7"/>
    <w:rsid w:val="00FE452A"/>
    <w:rsid w:val="00FE7CA8"/>
    <w:rsid w:val="00FF02A9"/>
    <w:rsid w:val="00FF2C5D"/>
    <w:rsid w:val="00FF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nkedin.com/company/zwiazek-polskiego-leasingu-zpl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asing.org.p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twitter.com/ZwiazekLeasing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1087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121</cp:revision>
  <cp:lastPrinted>2026-10-22T13:40:00Z</cp:lastPrinted>
  <dcterms:created xsi:type="dcterms:W3CDTF">2026-07-21T14:24:00Z</dcterms:created>
  <dcterms:modified xsi:type="dcterms:W3CDTF">2026-10-22T13:55:00Z</dcterms:modified>
</cp:coreProperties>
</file>